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CAED5" w14:textId="60B010E5" w:rsidR="00B3553B" w:rsidRPr="007C6F8E" w:rsidRDefault="00D36A46">
      <w:pPr>
        <w:rPr>
          <w:b/>
          <w:bCs/>
          <w:i/>
          <w:iCs/>
          <w:sz w:val="28"/>
          <w:szCs w:val="28"/>
        </w:rPr>
      </w:pPr>
      <w:r w:rsidRPr="007C6F8E">
        <w:rPr>
          <w:b/>
          <w:bCs/>
          <w:i/>
          <w:iCs/>
          <w:sz w:val="28"/>
          <w:szCs w:val="28"/>
        </w:rPr>
        <w:t>Commenti introduttivi</w:t>
      </w:r>
    </w:p>
    <w:p w14:paraId="38868856" w14:textId="560E3CB6" w:rsidR="00D36A46" w:rsidRPr="00D36A46" w:rsidRDefault="00D36A46" w:rsidP="00D36A46">
      <w:pPr>
        <w:spacing w:after="0" w:line="240" w:lineRule="auto"/>
        <w:jc w:val="both"/>
      </w:pPr>
      <w:r>
        <w:t>Si r</w:t>
      </w:r>
      <w:r w:rsidRPr="00D36A46">
        <w:t>iba</w:t>
      </w:r>
      <w:r>
        <w:t>disce</w:t>
      </w:r>
      <w:r w:rsidRPr="00D36A46">
        <w:t xml:space="preserve"> la preoccupazione che la </w:t>
      </w:r>
      <w:r w:rsidR="00A64EFA">
        <w:t xml:space="preserve">trasparenza </w:t>
      </w:r>
      <w:r w:rsidR="00F936D9">
        <w:t xml:space="preserve">nei </w:t>
      </w:r>
      <w:r w:rsidR="00F936D9" w:rsidRPr="00D36A46">
        <w:t>confronti de</w:t>
      </w:r>
      <w:r w:rsidR="00F936D9">
        <w:t>gli aderenti/</w:t>
      </w:r>
      <w:r w:rsidR="00F936D9" w:rsidRPr="00D36A46">
        <w:t>beneficiari</w:t>
      </w:r>
      <w:r w:rsidR="00F936D9">
        <w:t xml:space="preserve"> </w:t>
      </w:r>
      <w:r w:rsidR="00A64EFA">
        <w:t xml:space="preserve">sugli investimenti </w:t>
      </w:r>
      <w:r w:rsidR="00B136C0">
        <w:t xml:space="preserve">effettuati dal piano pensionistico </w:t>
      </w:r>
      <w:r w:rsidRPr="00D36A46">
        <w:t xml:space="preserve">(e, più in generale, nei confronti di qualsiasi </w:t>
      </w:r>
      <w:r w:rsidR="00A64EFA">
        <w:t>sottoscrittore di</w:t>
      </w:r>
      <w:r w:rsidRPr="00D36A46">
        <w:t xml:space="preserve"> prodott</w:t>
      </w:r>
      <w:r w:rsidR="00A64EFA">
        <w:t>i</w:t>
      </w:r>
      <w:r w:rsidRPr="00D36A46">
        <w:t xml:space="preserve"> finanziari) </w:t>
      </w:r>
      <w:r w:rsidR="00A64EFA">
        <w:t>sia quanto più</w:t>
      </w:r>
      <w:r w:rsidRPr="00D36A46">
        <w:t xml:space="preserve"> semplice e focalizzata sulle </w:t>
      </w:r>
      <w:r w:rsidR="00F936D9">
        <w:t xml:space="preserve">sue </w:t>
      </w:r>
      <w:r w:rsidRPr="00D36A46">
        <w:t>caratteristiche principali</w:t>
      </w:r>
      <w:r w:rsidR="00B136C0">
        <w:t>,</w:t>
      </w:r>
      <w:r w:rsidRPr="00D36A46">
        <w:t xml:space="preserve"> inclus</w:t>
      </w:r>
      <w:r w:rsidR="00B136C0">
        <w:t>e quelle</w:t>
      </w:r>
      <w:r w:rsidRPr="00D36A46">
        <w:t xml:space="preserve"> Esg. I modelli forniti alla Commissione UE da Eiopa, Eba ed Esma il 4 febbraio 2021 </w:t>
      </w:r>
      <w:r w:rsidR="00B136C0">
        <w:t>risultano</w:t>
      </w:r>
      <w:r w:rsidRPr="00D36A46">
        <w:t xml:space="preserve"> invece complessi e </w:t>
      </w:r>
      <w:r w:rsidR="00F936D9">
        <w:t>molto</w:t>
      </w:r>
      <w:r w:rsidR="00B136C0">
        <w:t xml:space="preserve"> </w:t>
      </w:r>
      <w:r w:rsidRPr="00D36A46">
        <w:t xml:space="preserve">lunghi. </w:t>
      </w:r>
      <w:r w:rsidR="00B136C0">
        <w:t>Le informazioni tecniche che dovranno essere fornite, oltre che la lunghezza della documentazione, rischiano di avere l’effetto opposto rispetto a quello auspicato: scoraggiare la lettura e non incoraggiarla</w:t>
      </w:r>
      <w:r w:rsidRPr="00D36A46">
        <w:t xml:space="preserve">. </w:t>
      </w:r>
      <w:r w:rsidR="00B136C0">
        <w:t>Il Regolamento 2019/2088</w:t>
      </w:r>
      <w:r w:rsidRPr="00D36A46">
        <w:t xml:space="preserve"> non tiene </w:t>
      </w:r>
      <w:r w:rsidR="00B136C0">
        <w:t xml:space="preserve">sufficientemente </w:t>
      </w:r>
      <w:r w:rsidRPr="00D36A46">
        <w:t xml:space="preserve">conto di un principio di proporzionalità per </w:t>
      </w:r>
      <w:r w:rsidR="00355771">
        <w:t>le varie</w:t>
      </w:r>
      <w:r w:rsidRPr="00D36A46">
        <w:t xml:space="preserve"> entità finanziarie che</w:t>
      </w:r>
      <w:r w:rsidR="00B136C0">
        <w:t xml:space="preserve">, di contro, sarebbe particolarmente </w:t>
      </w:r>
      <w:r w:rsidRPr="00D36A46">
        <w:t xml:space="preserve">utile per </w:t>
      </w:r>
      <w:r w:rsidR="00B136C0">
        <w:t xml:space="preserve">i </w:t>
      </w:r>
      <w:r w:rsidR="00355771">
        <w:t>f</w:t>
      </w:r>
      <w:r w:rsidR="00B136C0">
        <w:t>ondi pensione</w:t>
      </w:r>
      <w:r w:rsidRPr="00D36A46">
        <w:t xml:space="preserve">. </w:t>
      </w:r>
      <w:r w:rsidR="00B136C0">
        <w:t>Sarebbe quindi auspicabile che</w:t>
      </w:r>
      <w:r w:rsidRPr="00D36A46">
        <w:t xml:space="preserve"> le modifiche </w:t>
      </w:r>
      <w:r w:rsidR="00B136C0">
        <w:t>agli standard tecnici di regolamento del 4 febbraio 2021</w:t>
      </w:r>
      <w:r w:rsidRPr="00D36A46">
        <w:t xml:space="preserve"> </w:t>
      </w:r>
      <w:r w:rsidR="00B136C0">
        <w:t>che verranno apportate a valle della</w:t>
      </w:r>
      <w:r w:rsidRPr="00D36A46">
        <w:t xml:space="preserve"> consultazione </w:t>
      </w:r>
      <w:r w:rsidR="00F936D9">
        <w:t xml:space="preserve">in commento </w:t>
      </w:r>
      <w:r w:rsidR="009D35D5">
        <w:t>possano essere</w:t>
      </w:r>
      <w:r w:rsidRPr="00D36A46">
        <w:t xml:space="preserve"> limitate e non aument</w:t>
      </w:r>
      <w:r w:rsidR="009D35D5">
        <w:t>ino</w:t>
      </w:r>
      <w:r w:rsidRPr="00D36A46">
        <w:t xml:space="preserve"> la loro complessità.</w:t>
      </w:r>
    </w:p>
    <w:p w14:paraId="5D850E10" w14:textId="45FA3A9D" w:rsidR="00D36A46" w:rsidRDefault="009D35D5" w:rsidP="00D36A46">
      <w:pPr>
        <w:spacing w:after="0" w:line="240" w:lineRule="auto"/>
        <w:jc w:val="both"/>
      </w:pPr>
      <w:r>
        <w:t>Ulteriori</w:t>
      </w:r>
      <w:r w:rsidR="00D36A46" w:rsidRPr="00D36A46">
        <w:t xml:space="preserve"> preoccupazion</w:t>
      </w:r>
      <w:r>
        <w:t>i</w:t>
      </w:r>
      <w:r w:rsidR="00D36A46" w:rsidRPr="00D36A46">
        <w:t xml:space="preserve"> </w:t>
      </w:r>
      <w:r>
        <w:t>derivano</w:t>
      </w:r>
      <w:r w:rsidR="00D36A46" w:rsidRPr="00D36A46">
        <w:t xml:space="preserve"> </w:t>
      </w:r>
      <w:r>
        <w:t>d</w:t>
      </w:r>
      <w:r w:rsidR="00D36A46" w:rsidRPr="00D36A46">
        <w:t xml:space="preserve">al calendario </w:t>
      </w:r>
      <w:r>
        <w:t>degli standard tecnici di regolamento</w:t>
      </w:r>
      <w:r w:rsidR="00D36A46" w:rsidRPr="00D36A46">
        <w:t xml:space="preserve"> e </w:t>
      </w:r>
      <w:r>
        <w:t>d</w:t>
      </w:r>
      <w:r w:rsidR="00D36A46" w:rsidRPr="00D36A46">
        <w:t>alla disponibilità dei dati per alimentar</w:t>
      </w:r>
      <w:r>
        <w:t>e il livello di trasparenza che sarà richiesto</w:t>
      </w:r>
      <w:r w:rsidR="00D36A46" w:rsidRPr="00D36A46">
        <w:t xml:space="preserve">. </w:t>
      </w:r>
      <w:r>
        <w:t xml:space="preserve">Se da una parte è apprezzabile l’intento di </w:t>
      </w:r>
      <w:r w:rsidR="00D36A46" w:rsidRPr="00D36A46">
        <w:t xml:space="preserve">Eiopa, Eba ed Esma </w:t>
      </w:r>
      <w:r>
        <w:t xml:space="preserve">di predisporre un unico testo normativo sulla trasparenza degli investimenti sostenibili </w:t>
      </w:r>
      <w:r w:rsidR="00D36A46" w:rsidRPr="00D36A46">
        <w:t>per ridurre al minimo l</w:t>
      </w:r>
      <w:r>
        <w:t>e</w:t>
      </w:r>
      <w:r w:rsidR="00D36A46" w:rsidRPr="00D36A46">
        <w:t xml:space="preserve"> duplicazion</w:t>
      </w:r>
      <w:r>
        <w:t>i</w:t>
      </w:r>
      <w:r w:rsidR="00D36A46" w:rsidRPr="00D36A46">
        <w:t xml:space="preserve"> e l</w:t>
      </w:r>
      <w:r>
        <w:t>e</w:t>
      </w:r>
      <w:r w:rsidR="00D36A46" w:rsidRPr="00D36A46">
        <w:t xml:space="preserve"> complessità, </w:t>
      </w:r>
      <w:r>
        <w:t xml:space="preserve">è presumibile che ciò </w:t>
      </w:r>
      <w:r w:rsidR="00D36A46" w:rsidRPr="00D36A46">
        <w:t>provocherà una grande pressione su</w:t>
      </w:r>
      <w:r>
        <w:t>i Fondi pensione</w:t>
      </w:r>
      <w:r w:rsidR="00D36A46" w:rsidRPr="00D36A46">
        <w:t xml:space="preserve"> per </w:t>
      </w:r>
      <w:r>
        <w:t>adeguarsi</w:t>
      </w:r>
      <w:r w:rsidR="00D36A46" w:rsidRPr="00D36A46">
        <w:t xml:space="preserve"> a partire dal 1° gennaio 2022. Se un rinvio dell'entrata in</w:t>
      </w:r>
      <w:r>
        <w:t xml:space="preserve"> vigore/applicazione degli standard tecnici di regolamento</w:t>
      </w:r>
      <w:r w:rsidR="00D36A46" w:rsidRPr="00D36A46">
        <w:t xml:space="preserve"> </w:t>
      </w:r>
      <w:r>
        <w:t>non fosse possibile</w:t>
      </w:r>
      <w:r w:rsidR="00D36A46" w:rsidRPr="00D36A46">
        <w:t xml:space="preserve">, </w:t>
      </w:r>
      <w:r>
        <w:t>sarebbe auspicabile l’</w:t>
      </w:r>
      <w:r w:rsidR="00D36A46" w:rsidRPr="00D36A46">
        <w:t>ado</w:t>
      </w:r>
      <w:r>
        <w:t>zione</w:t>
      </w:r>
      <w:r w:rsidR="00D36A46" w:rsidRPr="00D36A46">
        <w:t xml:space="preserve"> </w:t>
      </w:r>
      <w:r>
        <w:t>di</w:t>
      </w:r>
      <w:r w:rsidR="00D36A46" w:rsidRPr="00D36A46">
        <w:t xml:space="preserve"> un approccio flessibile e </w:t>
      </w:r>
      <w:r>
        <w:t>principle-based, soprattutto nella fase iniziale.</w:t>
      </w:r>
      <w:r w:rsidR="00D36A46" w:rsidRPr="00D36A46">
        <w:t xml:space="preserve"> Ciò </w:t>
      </w:r>
      <w:r>
        <w:t>soprattutto in relazione</w:t>
      </w:r>
      <w:r w:rsidR="00D36A46" w:rsidRPr="00D36A46">
        <w:t xml:space="preserve"> del fatto che la </w:t>
      </w:r>
      <w:r w:rsidR="00F936D9">
        <w:t>T</w:t>
      </w:r>
      <w:r w:rsidR="00D36A46" w:rsidRPr="00D36A46">
        <w:t xml:space="preserve">assonomia </w:t>
      </w:r>
      <w:r w:rsidR="00F936D9">
        <w:t xml:space="preserve">delle attività economiche </w:t>
      </w:r>
      <w:r w:rsidR="00D36A46" w:rsidRPr="00D36A46">
        <w:t xml:space="preserve">è ancora </w:t>
      </w:r>
      <w:r w:rsidR="00F936D9">
        <w:t>un cantiere aperto</w:t>
      </w:r>
      <w:r w:rsidR="00D36A46" w:rsidRPr="00D36A46">
        <w:t xml:space="preserve"> e la raccolta dei dati non </w:t>
      </w:r>
      <w:r>
        <w:t>sarà</w:t>
      </w:r>
      <w:r w:rsidR="00D36A46" w:rsidRPr="00D36A46">
        <w:t xml:space="preserve"> facile, almeno nella prima fase dell'applicazione.</w:t>
      </w:r>
    </w:p>
    <w:p w14:paraId="016D4AD0" w14:textId="58DBCCBA" w:rsidR="007C6F8E" w:rsidRDefault="007C6F8E" w:rsidP="00D36A46">
      <w:pPr>
        <w:spacing w:after="0" w:line="240" w:lineRule="auto"/>
        <w:jc w:val="both"/>
      </w:pPr>
    </w:p>
    <w:p w14:paraId="0349DA23" w14:textId="1FA9DCB7" w:rsidR="007C6F8E" w:rsidRDefault="003B144D" w:rsidP="00D161B2">
      <w:pPr>
        <w:jc w:val="both"/>
        <w:rPr>
          <w:b/>
          <w:bCs/>
          <w:i/>
          <w:iCs/>
          <w:sz w:val="28"/>
          <w:szCs w:val="28"/>
        </w:rPr>
      </w:pPr>
      <w:r>
        <w:rPr>
          <w:b/>
          <w:bCs/>
          <w:i/>
          <w:iCs/>
          <w:sz w:val="28"/>
          <w:szCs w:val="28"/>
        </w:rPr>
        <w:t>Domanda 1)</w:t>
      </w:r>
      <w:r w:rsidR="00745B9F">
        <w:rPr>
          <w:b/>
          <w:bCs/>
          <w:i/>
          <w:iCs/>
          <w:sz w:val="28"/>
          <w:szCs w:val="28"/>
        </w:rPr>
        <w:t xml:space="preserve"> –</w:t>
      </w:r>
      <w:r>
        <w:rPr>
          <w:b/>
          <w:bCs/>
          <w:i/>
          <w:iCs/>
          <w:sz w:val="28"/>
          <w:szCs w:val="28"/>
        </w:rPr>
        <w:t xml:space="preserve"> </w:t>
      </w:r>
      <w:r w:rsidR="00745B9F">
        <w:rPr>
          <w:b/>
          <w:bCs/>
          <w:i/>
          <w:iCs/>
          <w:sz w:val="28"/>
          <w:szCs w:val="28"/>
        </w:rPr>
        <w:t>Cosa ne pensi de</w:t>
      </w:r>
      <w:r w:rsidR="007C6F8E" w:rsidRPr="007C6F8E">
        <w:rPr>
          <w:b/>
          <w:bCs/>
          <w:i/>
          <w:iCs/>
          <w:sz w:val="28"/>
          <w:szCs w:val="28"/>
        </w:rPr>
        <w:t xml:space="preserve">ll'approccio proposto </w:t>
      </w:r>
      <w:r w:rsidR="007C6F8E">
        <w:rPr>
          <w:b/>
          <w:bCs/>
          <w:i/>
          <w:iCs/>
          <w:sz w:val="28"/>
          <w:szCs w:val="28"/>
        </w:rPr>
        <w:t>da Eiopa, Esba, Eba</w:t>
      </w:r>
      <w:r w:rsidR="007C6F8E" w:rsidRPr="007C6F8E">
        <w:rPr>
          <w:b/>
          <w:bCs/>
          <w:i/>
          <w:iCs/>
          <w:sz w:val="28"/>
          <w:szCs w:val="28"/>
        </w:rPr>
        <w:t xml:space="preserve"> </w:t>
      </w:r>
      <w:r w:rsidR="007C6F8E">
        <w:rPr>
          <w:b/>
          <w:bCs/>
          <w:i/>
          <w:iCs/>
          <w:sz w:val="28"/>
          <w:szCs w:val="28"/>
        </w:rPr>
        <w:t>di</w:t>
      </w:r>
      <w:r w:rsidR="007C6F8E" w:rsidRPr="007C6F8E">
        <w:rPr>
          <w:b/>
          <w:bCs/>
          <w:i/>
          <w:iCs/>
          <w:sz w:val="28"/>
          <w:szCs w:val="28"/>
        </w:rPr>
        <w:t xml:space="preserve"> modificare </w:t>
      </w:r>
      <w:r w:rsidR="007C6F8E">
        <w:rPr>
          <w:b/>
          <w:bCs/>
          <w:i/>
          <w:iCs/>
          <w:sz w:val="28"/>
          <w:szCs w:val="28"/>
        </w:rPr>
        <w:t>gli standard tecnici di regolamento previsti dal Reg. 2019/2088 e inviati alla Commissione Ue lo scorso 4 febbraio</w:t>
      </w:r>
      <w:r w:rsidR="007C6F8E" w:rsidRPr="007C6F8E">
        <w:rPr>
          <w:b/>
          <w:bCs/>
          <w:i/>
          <w:iCs/>
          <w:sz w:val="28"/>
          <w:szCs w:val="28"/>
        </w:rPr>
        <w:t xml:space="preserve"> </w:t>
      </w:r>
      <w:r w:rsidR="007C6F8E">
        <w:rPr>
          <w:b/>
          <w:bCs/>
          <w:i/>
          <w:iCs/>
          <w:sz w:val="28"/>
          <w:szCs w:val="28"/>
        </w:rPr>
        <w:t>anziché predisporre una nuova proposta di standard tecnici di regolamento così come previsto dal Regolamento 852/2020</w:t>
      </w:r>
      <w:r w:rsidR="007C6F8E" w:rsidRPr="007C6F8E">
        <w:rPr>
          <w:b/>
          <w:bCs/>
          <w:i/>
          <w:iCs/>
          <w:sz w:val="28"/>
          <w:szCs w:val="28"/>
        </w:rPr>
        <w:t>?</w:t>
      </w:r>
    </w:p>
    <w:p w14:paraId="1612CDCD" w14:textId="095C35C5" w:rsidR="007C6F8E" w:rsidRPr="00193B95" w:rsidRDefault="007C6F8E" w:rsidP="00F01888">
      <w:pPr>
        <w:jc w:val="both"/>
        <w:rPr>
          <w:sz w:val="18"/>
          <w:szCs w:val="18"/>
        </w:rPr>
      </w:pPr>
      <w:r w:rsidRPr="00193B95">
        <w:rPr>
          <w:sz w:val="18"/>
          <w:szCs w:val="18"/>
        </w:rPr>
        <w:t xml:space="preserve">(per capire meglio la domanda: </w:t>
      </w:r>
      <w:r w:rsidR="007F1924" w:rsidRPr="00193B95">
        <w:rPr>
          <w:sz w:val="18"/>
          <w:szCs w:val="18"/>
        </w:rPr>
        <w:t>il Regolamento 852/2020 modifica gli articoli 8, 9 e 1</w:t>
      </w:r>
      <w:r w:rsidR="00355771">
        <w:rPr>
          <w:sz w:val="18"/>
          <w:szCs w:val="18"/>
        </w:rPr>
        <w:t>1</w:t>
      </w:r>
      <w:r w:rsidR="007F1924" w:rsidRPr="00193B95">
        <w:rPr>
          <w:sz w:val="18"/>
          <w:szCs w:val="18"/>
        </w:rPr>
        <w:t xml:space="preserve"> del Reg. 2019/2088, per quanto riguarda le informazioni da dare nella Nota informativa-Appendice sostenibilità, informazioni sulle caratteristiche ambientali o sociali/investimenti sostenibili- e nel Bilancio relativamente ai prodotti finanziari che promuovono caratteristiche sociali e ambientali e che hanno come obiettivo investimenti sostenibili. Le modifiche riguardano le informazioni da rendere relativamente agli investimenti </w:t>
      </w:r>
      <w:r w:rsidR="009F2717">
        <w:rPr>
          <w:sz w:val="18"/>
          <w:szCs w:val="18"/>
        </w:rPr>
        <w:t xml:space="preserve">ambientali </w:t>
      </w:r>
      <w:r w:rsidR="007F1924" w:rsidRPr="00193B95">
        <w:rPr>
          <w:sz w:val="18"/>
          <w:szCs w:val="18"/>
        </w:rPr>
        <w:t>allineati alla Tassonomia. Anziché definire uno specifico modello, Eiopa, Eba e</w:t>
      </w:r>
      <w:r w:rsidR="00506F03">
        <w:rPr>
          <w:sz w:val="18"/>
          <w:szCs w:val="18"/>
        </w:rPr>
        <w:t>d</w:t>
      </w:r>
      <w:r w:rsidR="007F1924" w:rsidRPr="00193B95">
        <w:rPr>
          <w:sz w:val="18"/>
          <w:szCs w:val="18"/>
        </w:rPr>
        <w:t xml:space="preserve"> Esma hanno ritenuto più opportuno inserire tali informazioni all’interno </w:t>
      </w:r>
      <w:r w:rsidR="00355771">
        <w:rPr>
          <w:sz w:val="18"/>
          <w:szCs w:val="18"/>
        </w:rPr>
        <w:t>degli schemi</w:t>
      </w:r>
      <w:r w:rsidR="00105292" w:rsidRPr="00193B95">
        <w:rPr>
          <w:sz w:val="18"/>
          <w:szCs w:val="18"/>
        </w:rPr>
        <w:t xml:space="preserve"> già predisposti e condivisi con la Commissione Ue lo scorso 4 febbraio 2021)</w:t>
      </w:r>
      <w:r w:rsidR="00193B95" w:rsidRPr="00193B95">
        <w:rPr>
          <w:sz w:val="18"/>
          <w:szCs w:val="18"/>
        </w:rPr>
        <w:t>.</w:t>
      </w:r>
    </w:p>
    <w:p w14:paraId="18E96E19" w14:textId="1BBE4CDC" w:rsidR="00506F03" w:rsidRDefault="00193B95" w:rsidP="00F01888">
      <w:pPr>
        <w:jc w:val="both"/>
      </w:pPr>
      <w:r>
        <w:t xml:space="preserve">L'approccio seguito da Eiopa, Esma e Eba </w:t>
      </w:r>
      <w:r w:rsidR="00094E5E">
        <w:t xml:space="preserve">è condivisibile </w:t>
      </w:r>
      <w:r w:rsidR="00506F03">
        <w:t>e</w:t>
      </w:r>
      <w:r w:rsidR="00094E5E">
        <w:t xml:space="preserve"> apprezzabile</w:t>
      </w:r>
      <w:r w:rsidR="00506F03">
        <w:t>,</w:t>
      </w:r>
      <w:r w:rsidR="00094E5E">
        <w:t xml:space="preserve"> </w:t>
      </w:r>
      <w:r w:rsidR="00506F03">
        <w:t>t</w:t>
      </w:r>
      <w:r w:rsidR="00094E5E">
        <w:t xml:space="preserve">ale scelta consentirà di </w:t>
      </w:r>
      <w:r>
        <w:t>ridurre al minimo l</w:t>
      </w:r>
      <w:r w:rsidR="00094E5E">
        <w:t>e</w:t>
      </w:r>
      <w:r>
        <w:t xml:space="preserve"> duplicazion</w:t>
      </w:r>
      <w:r w:rsidR="00094E5E">
        <w:t>i</w:t>
      </w:r>
      <w:r>
        <w:t xml:space="preserve"> e l</w:t>
      </w:r>
      <w:r w:rsidR="00355771">
        <w:t>e</w:t>
      </w:r>
      <w:r>
        <w:t xml:space="preserve"> complessità</w:t>
      </w:r>
      <w:r w:rsidR="00506F03">
        <w:t>, oltre che di avere tutte le norme di secondo livello sull'informativa relativa alla sostenibilità in</w:t>
      </w:r>
      <w:r>
        <w:t xml:space="preserve"> un unico regolamento invece </w:t>
      </w:r>
      <w:r w:rsidR="00506F03">
        <w:t>di essere sparse in</w:t>
      </w:r>
      <w:r>
        <w:t xml:space="preserve"> diversi atti delegati. </w:t>
      </w:r>
    </w:p>
    <w:p w14:paraId="2C34E486" w14:textId="3499E319" w:rsidR="00193B95" w:rsidRDefault="00506F03" w:rsidP="00F01888">
      <w:pPr>
        <w:jc w:val="both"/>
      </w:pPr>
      <w:r>
        <w:t>Tale scelta, t</w:t>
      </w:r>
      <w:r w:rsidR="00193B95">
        <w:t xml:space="preserve">uttavia, </w:t>
      </w:r>
      <w:r>
        <w:t>avrà</w:t>
      </w:r>
      <w:r w:rsidR="00193B95">
        <w:t xml:space="preserve"> un impatto sul calendario complessivo previsto per la finalizzazione degli atti delegati </w:t>
      </w:r>
      <w:r>
        <w:t xml:space="preserve">collegati </w:t>
      </w:r>
      <w:r w:rsidR="00193B95">
        <w:t xml:space="preserve">al regolamento (UE) 2019/2088. </w:t>
      </w:r>
      <w:r w:rsidR="00B83303">
        <w:t xml:space="preserve">Sono le stesse autorità che evidenziano le difficoltà poste dalla tempistica ristretta. </w:t>
      </w:r>
      <w:r w:rsidR="00B45F2E">
        <w:t>Gli standard tecnici di regolamento previsti dal Re</w:t>
      </w:r>
      <w:r w:rsidR="003402E0">
        <w:t>g</w:t>
      </w:r>
      <w:r w:rsidR="00B45F2E">
        <w:t xml:space="preserve">. 2019/2088 avrebbero dovuto essere </w:t>
      </w:r>
      <w:r w:rsidR="00C05150">
        <w:t xml:space="preserve">inviati alla Commissione UE </w:t>
      </w:r>
      <w:r w:rsidR="00B45F2E">
        <w:t>entro il 3</w:t>
      </w:r>
      <w:r w:rsidR="00C05150">
        <w:t>0</w:t>
      </w:r>
      <w:r w:rsidR="00B45F2E">
        <w:t xml:space="preserve"> dicembre 2020, ciò non è avvenuto e l’invio alla Commissione Ue è avvenuto lo scorso 4 febbraio (il Reg. 2019/2088 è entrato in vigore lo scorso 10 marzo)</w:t>
      </w:r>
      <w:r w:rsidR="00C05150">
        <w:t xml:space="preserve">. Tale ritardo </w:t>
      </w:r>
      <w:r w:rsidR="003402E0">
        <w:t>s</w:t>
      </w:r>
      <w:r w:rsidR="00C05150">
        <w:t xml:space="preserve">i ribalta sulle proposte di standard tecnici di regolamento previsti dal Reg. 852/2020 </w:t>
      </w:r>
      <w:r w:rsidR="007D0817">
        <w:t>(cui si riferisce la consultazione in corso) e che dovrebbero essere inviate da Eiopa, Eba e</w:t>
      </w:r>
      <w:r w:rsidR="009F2717">
        <w:t>d</w:t>
      </w:r>
      <w:r w:rsidR="007D0817">
        <w:t xml:space="preserve"> Esma alla Commissione Ue entro il prossimo 1</w:t>
      </w:r>
      <w:r w:rsidR="003402E0">
        <w:t>°</w:t>
      </w:r>
      <w:r w:rsidR="007D0817">
        <w:t xml:space="preserve"> giugno 2021. Ne consegue che tutto il processo di definizione delle proposte di standard di regolamento sarà traslato in avanti e, a cascata, la pubblicazione de</w:t>
      </w:r>
      <w:r w:rsidR="009F2717">
        <w:t>l</w:t>
      </w:r>
      <w:r w:rsidR="007D0817">
        <w:t xml:space="preserve"> regolament</w:t>
      </w:r>
      <w:r w:rsidR="009F2717">
        <w:t>o</w:t>
      </w:r>
      <w:r w:rsidR="007D0817">
        <w:t xml:space="preserve"> delegat</w:t>
      </w:r>
      <w:r w:rsidR="009F2717">
        <w:t>o</w:t>
      </w:r>
      <w:r w:rsidR="00193B95">
        <w:t>. Le entità finanziarie non avr</w:t>
      </w:r>
      <w:r w:rsidR="00355771">
        <w:t>ann</w:t>
      </w:r>
      <w:r w:rsidR="00193B95">
        <w:t xml:space="preserve">o tempo sufficiente per conformarsi ai nuovi requisiti, dato che </w:t>
      </w:r>
      <w:r w:rsidR="007D0817">
        <w:t>Eiopa, Esma e Eba</w:t>
      </w:r>
      <w:r w:rsidR="00193B95">
        <w:t xml:space="preserve"> prevedono di pubblicare </w:t>
      </w:r>
      <w:r w:rsidR="007D0817">
        <w:t xml:space="preserve">le </w:t>
      </w:r>
      <w:r w:rsidR="003402E0">
        <w:t xml:space="preserve">modifiche alle </w:t>
      </w:r>
      <w:r w:rsidR="007D0817">
        <w:t>proposte di standard tecnici di regolamento</w:t>
      </w:r>
      <w:r w:rsidR="00193B95">
        <w:t xml:space="preserve"> entro l'inizio di luglio 2021, </w:t>
      </w:r>
      <w:r w:rsidR="007D0817">
        <w:t>tale apparato normativo</w:t>
      </w:r>
      <w:r w:rsidR="00193B95">
        <w:t xml:space="preserve"> sarà quindi sottoposto </w:t>
      </w:r>
      <w:r w:rsidR="007D0817">
        <w:t xml:space="preserve">al vaglio della Commissione Ue e successivamente a </w:t>
      </w:r>
      <w:r w:rsidR="007D0817">
        <w:lastRenderedPageBreak/>
        <w:t>quello del Parlamento e del Consiglio Ue. La data proposta di applicazione, 1</w:t>
      </w:r>
      <w:r w:rsidR="003402E0">
        <w:t>°</w:t>
      </w:r>
      <w:r w:rsidR="007D0817">
        <w:t xml:space="preserve"> gennaio 2022, appare troppo a ridosso</w:t>
      </w:r>
      <w:r w:rsidR="00193B95">
        <w:t xml:space="preserve"> </w:t>
      </w:r>
      <w:r w:rsidR="007D0817">
        <w:t>della pubblicazione del</w:t>
      </w:r>
      <w:r w:rsidR="00193B95">
        <w:t xml:space="preserve"> regolamento delegato.</w:t>
      </w:r>
    </w:p>
    <w:p w14:paraId="2BC5FBE6" w14:textId="044F94C7" w:rsidR="00D36A46" w:rsidRDefault="00193B95" w:rsidP="00AE58B9">
      <w:pPr>
        <w:jc w:val="both"/>
      </w:pPr>
      <w:r>
        <w:t xml:space="preserve">Le preoccupazioni sollevate dalla compressione </w:t>
      </w:r>
      <w:r w:rsidR="003402E0">
        <w:t>della tempistica di adeguamento</w:t>
      </w:r>
      <w:r>
        <w:t xml:space="preserve"> </w:t>
      </w:r>
      <w:r w:rsidR="00C83333">
        <w:t>si affiancano a</w:t>
      </w:r>
      <w:r>
        <w:t xml:space="preserve"> quelle </w:t>
      </w:r>
      <w:r w:rsidR="00C83333">
        <w:t xml:space="preserve">legate </w:t>
      </w:r>
      <w:r>
        <w:t xml:space="preserve">alla </w:t>
      </w:r>
      <w:r w:rsidR="003402E0">
        <w:t>scarsezza</w:t>
      </w:r>
      <w:r>
        <w:t xml:space="preserve"> </w:t>
      </w:r>
      <w:r w:rsidR="00355771">
        <w:t>dei dati</w:t>
      </w:r>
      <w:r>
        <w:t xml:space="preserve"> </w:t>
      </w:r>
      <w:r w:rsidR="003402E0">
        <w:t xml:space="preserve">per alimentare </w:t>
      </w:r>
      <w:r w:rsidR="00355771">
        <w:t>la documentazione</w:t>
      </w:r>
      <w:r w:rsidR="003402E0">
        <w:t xml:space="preserve"> richiest</w:t>
      </w:r>
      <w:r w:rsidR="00355771">
        <w:t>a</w:t>
      </w:r>
      <w:r>
        <w:t xml:space="preserve"> in quanto il lavoro sulla </w:t>
      </w:r>
      <w:r w:rsidR="003402E0">
        <w:t>T</w:t>
      </w:r>
      <w:r>
        <w:t xml:space="preserve">assonomia è ancora in corso e, una volta finalizzato, ci vorrà del tempo perché le aziende </w:t>
      </w:r>
      <w:r w:rsidR="003402E0">
        <w:t>possano adeguarsi</w:t>
      </w:r>
      <w:r>
        <w:t xml:space="preserve">. Il calendario compresso e la </w:t>
      </w:r>
      <w:r w:rsidR="00072BA8">
        <w:t>difficoltà di reperire informazioni</w:t>
      </w:r>
      <w:r>
        <w:t>, almeno nella prima fase</w:t>
      </w:r>
      <w:r w:rsidR="00072BA8">
        <w:t xml:space="preserve"> di applicazione</w:t>
      </w:r>
      <w:r>
        <w:t xml:space="preserve">, sono problematici per tutte le entità finanziarie, in particolare per </w:t>
      </w:r>
      <w:r w:rsidR="00505C7D">
        <w:t>i fondi pensione occupazionali</w:t>
      </w:r>
      <w:r>
        <w:t xml:space="preserve">. </w:t>
      </w:r>
      <w:r w:rsidR="00505C7D">
        <w:t>Si tratta infatti di una categoria di partecipanti ai mercati finanziari</w:t>
      </w:r>
      <w:r>
        <w:t xml:space="preserve"> </w:t>
      </w:r>
      <w:r w:rsidR="00505C7D">
        <w:t xml:space="preserve">caratterizzata dalla </w:t>
      </w:r>
      <w:r w:rsidR="00072BA8">
        <w:t>dispon</w:t>
      </w:r>
      <w:r w:rsidR="00505C7D">
        <w:t>ibilità</w:t>
      </w:r>
      <w:r w:rsidR="00072BA8">
        <w:t xml:space="preserve"> di strutture molto snelle</w:t>
      </w:r>
      <w:r>
        <w:t xml:space="preserve"> e </w:t>
      </w:r>
      <w:r w:rsidR="00072BA8">
        <w:t>di risorse limitate</w:t>
      </w:r>
      <w:r>
        <w:t xml:space="preserve">: il rispetto </w:t>
      </w:r>
      <w:r w:rsidR="00505C7D">
        <w:t xml:space="preserve">di quanto previsto nelle proposte di standard tecnici di regolamento </w:t>
      </w:r>
      <w:r>
        <w:t xml:space="preserve">in tempi ristretti sarebbe </w:t>
      </w:r>
      <w:r w:rsidR="00505C7D">
        <w:t>oltremodo</w:t>
      </w:r>
      <w:r>
        <w:t xml:space="preserve"> oneroso. </w:t>
      </w:r>
      <w:r w:rsidR="00072BA8">
        <w:t>Qualora non fosse possibile rimandare l’entrata in vigore dei regolamenti delegati</w:t>
      </w:r>
      <w:r>
        <w:t xml:space="preserve">, </w:t>
      </w:r>
      <w:r w:rsidR="00072BA8">
        <w:t>sarebbe comunque sarebbe auspicabile l’</w:t>
      </w:r>
      <w:r w:rsidR="00072BA8" w:rsidRPr="00D36A46">
        <w:t>ado</w:t>
      </w:r>
      <w:r w:rsidR="00072BA8">
        <w:t>zione</w:t>
      </w:r>
      <w:r w:rsidR="00072BA8" w:rsidRPr="00D36A46">
        <w:t xml:space="preserve"> </w:t>
      </w:r>
      <w:r w:rsidR="00072BA8">
        <w:t>di</w:t>
      </w:r>
      <w:r w:rsidR="00072BA8" w:rsidRPr="00D36A46">
        <w:t xml:space="preserve"> un approccio flessibile e </w:t>
      </w:r>
      <w:r w:rsidR="00072BA8">
        <w:t>principle-based sulla base del criterio del best-effort, soprattutto nella fase iniziale.</w:t>
      </w:r>
    </w:p>
    <w:p w14:paraId="01131BE4" w14:textId="3D3FA1F4" w:rsidR="00D161B2" w:rsidRDefault="00D161B2" w:rsidP="00D161B2">
      <w:pPr>
        <w:spacing w:after="0" w:line="240" w:lineRule="auto"/>
        <w:jc w:val="both"/>
        <w:rPr>
          <w:b/>
          <w:bCs/>
          <w:i/>
          <w:iCs/>
          <w:sz w:val="28"/>
          <w:szCs w:val="28"/>
        </w:rPr>
      </w:pPr>
      <w:r>
        <w:rPr>
          <w:b/>
          <w:bCs/>
          <w:i/>
          <w:iCs/>
          <w:sz w:val="28"/>
          <w:szCs w:val="28"/>
        </w:rPr>
        <w:t>Domanda 2)</w:t>
      </w:r>
      <w:r w:rsidR="009F2717">
        <w:rPr>
          <w:b/>
          <w:bCs/>
          <w:i/>
          <w:iCs/>
          <w:sz w:val="28"/>
          <w:szCs w:val="28"/>
        </w:rPr>
        <w:t xml:space="preserve"> - </w:t>
      </w:r>
      <w:r>
        <w:rPr>
          <w:b/>
          <w:bCs/>
          <w:i/>
          <w:iCs/>
          <w:sz w:val="28"/>
          <w:szCs w:val="28"/>
        </w:rPr>
        <w:t>Qual è l’o</w:t>
      </w:r>
      <w:r w:rsidRPr="00D161B2">
        <w:rPr>
          <w:b/>
          <w:bCs/>
          <w:i/>
          <w:iCs/>
          <w:sz w:val="28"/>
          <w:szCs w:val="28"/>
        </w:rPr>
        <w:t xml:space="preserve">pinione sul KPI </w:t>
      </w:r>
      <w:r>
        <w:rPr>
          <w:b/>
          <w:bCs/>
          <w:i/>
          <w:iCs/>
          <w:sz w:val="28"/>
          <w:szCs w:val="28"/>
        </w:rPr>
        <w:t xml:space="preserve">proposto per misurare la quota di investimenti </w:t>
      </w:r>
      <w:r w:rsidR="00811582">
        <w:rPr>
          <w:b/>
          <w:bCs/>
          <w:i/>
          <w:iCs/>
          <w:sz w:val="28"/>
          <w:szCs w:val="28"/>
        </w:rPr>
        <w:t xml:space="preserve">allineati alla Tassonomia </w:t>
      </w:r>
      <w:r>
        <w:rPr>
          <w:b/>
          <w:bCs/>
          <w:i/>
          <w:iCs/>
          <w:sz w:val="28"/>
          <w:szCs w:val="28"/>
        </w:rPr>
        <w:t>detenuti nel portafoglio del prodotto finanziario</w:t>
      </w:r>
      <w:r w:rsidR="00D97B26">
        <w:rPr>
          <w:b/>
          <w:bCs/>
          <w:i/>
          <w:iCs/>
          <w:sz w:val="28"/>
          <w:szCs w:val="28"/>
        </w:rPr>
        <w:t>?</w:t>
      </w:r>
      <w:r w:rsidR="00811582">
        <w:rPr>
          <w:b/>
          <w:bCs/>
          <w:i/>
          <w:iCs/>
          <w:sz w:val="28"/>
          <w:szCs w:val="28"/>
        </w:rPr>
        <w:t xml:space="preserve"> Tal</w:t>
      </w:r>
      <w:r w:rsidR="00D97B26">
        <w:rPr>
          <w:b/>
          <w:bCs/>
          <w:i/>
          <w:iCs/>
          <w:sz w:val="28"/>
          <w:szCs w:val="28"/>
        </w:rPr>
        <w:t xml:space="preserve">e </w:t>
      </w:r>
      <w:r w:rsidR="00811582">
        <w:rPr>
          <w:b/>
          <w:bCs/>
          <w:i/>
          <w:iCs/>
          <w:sz w:val="28"/>
          <w:szCs w:val="28"/>
        </w:rPr>
        <w:t xml:space="preserve">KPI </w:t>
      </w:r>
      <w:r w:rsidR="00D97B26">
        <w:rPr>
          <w:b/>
          <w:bCs/>
          <w:i/>
          <w:iCs/>
          <w:sz w:val="28"/>
          <w:szCs w:val="28"/>
        </w:rPr>
        <w:t>d</w:t>
      </w:r>
      <w:r w:rsidR="00811582">
        <w:rPr>
          <w:b/>
          <w:bCs/>
          <w:i/>
          <w:iCs/>
          <w:sz w:val="28"/>
          <w:szCs w:val="28"/>
        </w:rPr>
        <w:t>o</w:t>
      </w:r>
      <w:r w:rsidR="00D97B26">
        <w:rPr>
          <w:b/>
          <w:bCs/>
          <w:i/>
          <w:iCs/>
          <w:sz w:val="28"/>
          <w:szCs w:val="28"/>
        </w:rPr>
        <w:t>v</w:t>
      </w:r>
      <w:r w:rsidR="00811582">
        <w:rPr>
          <w:b/>
          <w:bCs/>
          <w:i/>
          <w:iCs/>
          <w:sz w:val="28"/>
          <w:szCs w:val="28"/>
        </w:rPr>
        <w:t>rebbero essere basat</w:t>
      </w:r>
      <w:r w:rsidR="00D97B26">
        <w:rPr>
          <w:b/>
          <w:bCs/>
          <w:i/>
          <w:iCs/>
          <w:sz w:val="28"/>
          <w:szCs w:val="28"/>
        </w:rPr>
        <w:t>o</w:t>
      </w:r>
      <w:r w:rsidR="00811582">
        <w:rPr>
          <w:b/>
          <w:bCs/>
          <w:i/>
          <w:iCs/>
          <w:sz w:val="28"/>
          <w:szCs w:val="28"/>
        </w:rPr>
        <w:t xml:space="preserve"> sulla</w:t>
      </w:r>
      <w:r w:rsidRPr="00D161B2">
        <w:rPr>
          <w:b/>
          <w:bCs/>
          <w:i/>
          <w:iCs/>
          <w:sz w:val="28"/>
          <w:szCs w:val="28"/>
        </w:rPr>
        <w:t xml:space="preserve"> quota del fatturato </w:t>
      </w:r>
      <w:r w:rsidR="00811582">
        <w:rPr>
          <w:b/>
          <w:bCs/>
          <w:i/>
          <w:iCs/>
          <w:sz w:val="28"/>
          <w:szCs w:val="28"/>
        </w:rPr>
        <w:t>legato alle attività allineate alla Tassonomia piuttosto che alle</w:t>
      </w:r>
      <w:r w:rsidRPr="00D161B2">
        <w:rPr>
          <w:b/>
          <w:bCs/>
          <w:i/>
          <w:iCs/>
          <w:sz w:val="28"/>
          <w:szCs w:val="28"/>
        </w:rPr>
        <w:t xml:space="preserve"> spese in conto capitale o </w:t>
      </w:r>
      <w:r w:rsidR="00811582">
        <w:rPr>
          <w:b/>
          <w:bCs/>
          <w:i/>
          <w:iCs/>
          <w:sz w:val="28"/>
          <w:szCs w:val="28"/>
        </w:rPr>
        <w:t>alla spesa corrente</w:t>
      </w:r>
      <w:r w:rsidR="009F2717">
        <w:rPr>
          <w:b/>
          <w:bCs/>
          <w:i/>
          <w:iCs/>
          <w:sz w:val="28"/>
          <w:szCs w:val="28"/>
        </w:rPr>
        <w:t xml:space="preserve"> dell’azienda investita</w:t>
      </w:r>
      <w:r w:rsidR="00D97B26">
        <w:rPr>
          <w:b/>
          <w:bCs/>
          <w:i/>
          <w:iCs/>
          <w:sz w:val="28"/>
          <w:szCs w:val="28"/>
        </w:rPr>
        <w:t>.</w:t>
      </w:r>
      <w:r w:rsidRPr="00D161B2">
        <w:rPr>
          <w:b/>
          <w:bCs/>
          <w:i/>
          <w:iCs/>
          <w:sz w:val="28"/>
          <w:szCs w:val="28"/>
        </w:rPr>
        <w:t xml:space="preserve"> </w:t>
      </w:r>
      <w:r w:rsidR="009F2717">
        <w:rPr>
          <w:b/>
          <w:bCs/>
          <w:i/>
          <w:iCs/>
          <w:sz w:val="28"/>
          <w:szCs w:val="28"/>
        </w:rPr>
        <w:t>Inoltre, l</w:t>
      </w:r>
      <w:r w:rsidRPr="00D161B2">
        <w:rPr>
          <w:b/>
          <w:bCs/>
          <w:i/>
          <w:iCs/>
          <w:sz w:val="28"/>
          <w:szCs w:val="28"/>
        </w:rPr>
        <w:t>o stesso approccio</w:t>
      </w:r>
      <w:r w:rsidR="00811582">
        <w:rPr>
          <w:b/>
          <w:bCs/>
          <w:i/>
          <w:iCs/>
          <w:sz w:val="28"/>
          <w:szCs w:val="28"/>
        </w:rPr>
        <w:t xml:space="preserve"> (fatturato vs, spesa corrente vs. spesa in conto capitale)</w:t>
      </w:r>
      <w:r w:rsidRPr="00D161B2">
        <w:rPr>
          <w:b/>
          <w:bCs/>
          <w:i/>
          <w:iCs/>
          <w:sz w:val="28"/>
          <w:szCs w:val="28"/>
        </w:rPr>
        <w:t xml:space="preserve"> dovrebbe applicarsi a tutti gli investimenti effettuati da un dato prodotti finanziario?</w:t>
      </w:r>
    </w:p>
    <w:p w14:paraId="04652317" w14:textId="77777777" w:rsidR="002251CC" w:rsidRDefault="002251CC" w:rsidP="00D161B2">
      <w:pPr>
        <w:spacing w:after="0" w:line="240" w:lineRule="auto"/>
        <w:jc w:val="both"/>
        <w:rPr>
          <w:b/>
          <w:bCs/>
          <w:i/>
          <w:iCs/>
          <w:sz w:val="28"/>
          <w:szCs w:val="28"/>
        </w:rPr>
      </w:pPr>
    </w:p>
    <w:p w14:paraId="57AC8473" w14:textId="59EF756F" w:rsidR="00D97B26" w:rsidRDefault="00D97B26" w:rsidP="00D161B2">
      <w:pPr>
        <w:spacing w:after="0" w:line="240" w:lineRule="auto"/>
        <w:jc w:val="both"/>
        <w:rPr>
          <w:sz w:val="18"/>
          <w:szCs w:val="18"/>
        </w:rPr>
      </w:pPr>
      <w:r w:rsidRPr="00193B95">
        <w:rPr>
          <w:sz w:val="18"/>
          <w:szCs w:val="18"/>
        </w:rPr>
        <w:t xml:space="preserve">(per capire meglio la domanda: </w:t>
      </w:r>
      <w:r w:rsidR="002251CC">
        <w:rPr>
          <w:sz w:val="18"/>
          <w:szCs w:val="18"/>
        </w:rPr>
        <w:t>i RTS propongo la formula per calcolare la quota di investimenti allineati alla tassonomia. Nel Cap. 3 Background Analysis-pag. 9 e 10</w:t>
      </w:r>
      <w:r w:rsidR="009F2717">
        <w:rPr>
          <w:sz w:val="18"/>
          <w:szCs w:val="18"/>
        </w:rPr>
        <w:t xml:space="preserve"> del testo in consultazione</w:t>
      </w:r>
      <w:r w:rsidR="002251CC">
        <w:rPr>
          <w:sz w:val="18"/>
          <w:szCs w:val="18"/>
        </w:rPr>
        <w:t>, è illustrato un esempio di calcolo del KPI).</w:t>
      </w:r>
    </w:p>
    <w:p w14:paraId="09B4D52B" w14:textId="77777777" w:rsidR="002251CC" w:rsidRDefault="002251CC" w:rsidP="00D161B2">
      <w:pPr>
        <w:spacing w:after="0" w:line="240" w:lineRule="auto"/>
        <w:jc w:val="both"/>
        <w:rPr>
          <w:b/>
          <w:bCs/>
          <w:i/>
          <w:iCs/>
          <w:sz w:val="28"/>
          <w:szCs w:val="28"/>
        </w:rPr>
      </w:pPr>
    </w:p>
    <w:p w14:paraId="6ECB78C7" w14:textId="5A3EE389" w:rsidR="00D97B26" w:rsidRPr="00D97B26" w:rsidRDefault="00D97B26" w:rsidP="00D97B26">
      <w:pPr>
        <w:spacing w:after="0" w:line="240" w:lineRule="auto"/>
        <w:jc w:val="both"/>
      </w:pPr>
      <w:r w:rsidRPr="00D97B26">
        <w:t xml:space="preserve">La formula per il calcolo del KPI e le ipotesi sottostanti non </w:t>
      </w:r>
      <w:r w:rsidR="002251CC">
        <w:t>appaiono particolarmente semplici, a ciò si aggiunga la disponibilità di</w:t>
      </w:r>
      <w:r w:rsidRPr="00D97B26">
        <w:t xml:space="preserve"> informazioni non facilmente accessibili. Sebbene </w:t>
      </w:r>
      <w:r w:rsidR="00BA1E85">
        <w:t>il mantenimento del</w:t>
      </w:r>
      <w:r w:rsidRPr="00D97B26">
        <w:t>lo stesso approccio</w:t>
      </w:r>
      <w:r w:rsidR="00355771">
        <w:t>,</w:t>
      </w:r>
      <w:r w:rsidR="00BA1E85">
        <w:t xml:space="preserve"> fatturato, spesa corrente o in conto capitale</w:t>
      </w:r>
      <w:r w:rsidRPr="00D97B26">
        <w:t xml:space="preserve"> (</w:t>
      </w:r>
      <w:r w:rsidR="0034344B">
        <w:t xml:space="preserve">sia in fase di prima applicazione </w:t>
      </w:r>
      <w:r w:rsidR="00BA1E85">
        <w:t>sia</w:t>
      </w:r>
      <w:r w:rsidR="0034344B">
        <w:t xml:space="preserve"> negli esercizi successivi</w:t>
      </w:r>
      <w:r w:rsidRPr="00D97B26">
        <w:t xml:space="preserve">) per il calcolo dei KPI </w:t>
      </w:r>
      <w:r w:rsidR="0034344B">
        <w:t xml:space="preserve">potrebbe </w:t>
      </w:r>
      <w:r w:rsidRPr="00D97B26">
        <w:t>aiut</w:t>
      </w:r>
      <w:r w:rsidR="0034344B">
        <w:t>ar</w:t>
      </w:r>
      <w:r w:rsidRPr="00D97B26">
        <w:t xml:space="preserve">e i confronti, rischia </w:t>
      </w:r>
      <w:r w:rsidR="00BA1E85">
        <w:t xml:space="preserve">tuttavia </w:t>
      </w:r>
      <w:r w:rsidRPr="00D97B26">
        <w:t>di non tenere conto delle differenze nella disponibilità dei dati e nelle attività economiche</w:t>
      </w:r>
      <w:r w:rsidR="00BA1E85">
        <w:t>.</w:t>
      </w:r>
      <w:r w:rsidRPr="00D97B26">
        <w:t xml:space="preserve"> </w:t>
      </w:r>
      <w:r w:rsidR="00BA1E85">
        <w:t>A</w:t>
      </w:r>
      <w:r w:rsidRPr="00D97B26">
        <w:t xml:space="preserve">lmeno nella prima fase dell'applicazione, </w:t>
      </w:r>
      <w:r w:rsidR="00BA1E85">
        <w:t xml:space="preserve">quindi, </w:t>
      </w:r>
      <w:r w:rsidRPr="00D97B26">
        <w:t>i partecipanti a</w:t>
      </w:r>
      <w:r w:rsidR="00BA1E85">
        <w:t>i</w:t>
      </w:r>
      <w:r w:rsidRPr="00D97B26">
        <w:t xml:space="preserve"> mercat</w:t>
      </w:r>
      <w:r w:rsidR="00BA1E85">
        <w:t>i finanziari</w:t>
      </w:r>
      <w:r w:rsidRPr="00D97B26">
        <w:t xml:space="preserve"> dovrebbero </w:t>
      </w:r>
      <w:r w:rsidR="0034344B">
        <w:t>essere in grado</w:t>
      </w:r>
      <w:r w:rsidRPr="00D97B26">
        <w:t xml:space="preserve"> di considerare il KPI più adatto </w:t>
      </w:r>
      <w:r w:rsidR="0034344B">
        <w:t>a misurare l’</w:t>
      </w:r>
      <w:r w:rsidRPr="00D97B26">
        <w:t>attività/investimento.</w:t>
      </w:r>
    </w:p>
    <w:p w14:paraId="3A42F3FC" w14:textId="0339EE03" w:rsidR="00D97B26" w:rsidRPr="00D97B26" w:rsidRDefault="00D97B26" w:rsidP="00D97B26">
      <w:pPr>
        <w:spacing w:after="0" w:line="240" w:lineRule="auto"/>
        <w:jc w:val="both"/>
      </w:pPr>
      <w:r w:rsidRPr="00D97B26">
        <w:t xml:space="preserve">Per gli investimenti </w:t>
      </w:r>
      <w:r w:rsidR="00BA1E85">
        <w:t>dei fondi pensione</w:t>
      </w:r>
      <w:r w:rsidRPr="00D97B26">
        <w:t xml:space="preserve"> </w:t>
      </w:r>
      <w:r w:rsidR="00BA1E85">
        <w:t>negli Oicr</w:t>
      </w:r>
      <w:r w:rsidRPr="00D97B26">
        <w:t>, seguendo un approccio di proporzionalità, dovrebbero essere fissate alcune soglie minime al di sotto delle quali questo tipo di investimenti non dovrebbe essere considerato nel calcolo del KPI. In</w:t>
      </w:r>
      <w:r w:rsidR="00BA1E85">
        <w:t>oltre</w:t>
      </w:r>
      <w:r w:rsidR="008454AF">
        <w:t>,</w:t>
      </w:r>
      <w:r w:rsidRPr="00D97B26">
        <w:t xml:space="preserve"> dovrebbe spettare al gestore del </w:t>
      </w:r>
      <w:r w:rsidR="00BA1E85">
        <w:t>fondo pensione che investe nell’Oicr</w:t>
      </w:r>
      <w:r w:rsidRPr="00D97B26">
        <w:t xml:space="preserve"> </w:t>
      </w:r>
      <w:r w:rsidR="008454AF">
        <w:t>la ricerca delle informazioni necessarie al calcolo del</w:t>
      </w:r>
      <w:r w:rsidRPr="00D97B26">
        <w:t xml:space="preserve"> KPI</w:t>
      </w:r>
      <w:r w:rsidR="008454AF">
        <w:t xml:space="preserve"> del comparto</w:t>
      </w:r>
      <w:r w:rsidRPr="00D97B26">
        <w:t>.</w:t>
      </w:r>
    </w:p>
    <w:p w14:paraId="05AF55C9" w14:textId="66E11544" w:rsidR="00D161B2" w:rsidRDefault="00D161B2" w:rsidP="00AE58B9">
      <w:pPr>
        <w:jc w:val="both"/>
      </w:pPr>
    </w:p>
    <w:p w14:paraId="63F9C923" w14:textId="061C0A79" w:rsidR="009A6659" w:rsidRDefault="009A6659" w:rsidP="009A6659">
      <w:pPr>
        <w:spacing w:after="0" w:line="240" w:lineRule="auto"/>
        <w:jc w:val="both"/>
        <w:rPr>
          <w:b/>
          <w:bCs/>
          <w:i/>
          <w:iCs/>
          <w:sz w:val="28"/>
          <w:szCs w:val="28"/>
        </w:rPr>
      </w:pPr>
      <w:r w:rsidRPr="009A6659">
        <w:rPr>
          <w:b/>
          <w:bCs/>
          <w:i/>
          <w:iCs/>
          <w:sz w:val="28"/>
          <w:szCs w:val="28"/>
        </w:rPr>
        <w:t>Domanda 3</w:t>
      </w:r>
      <w:r>
        <w:rPr>
          <w:b/>
          <w:bCs/>
          <w:i/>
          <w:iCs/>
          <w:sz w:val="28"/>
          <w:szCs w:val="28"/>
        </w:rPr>
        <w:t>)</w:t>
      </w:r>
      <w:r w:rsidR="009F2717">
        <w:rPr>
          <w:b/>
          <w:bCs/>
          <w:i/>
          <w:iCs/>
          <w:sz w:val="28"/>
          <w:szCs w:val="28"/>
        </w:rPr>
        <w:t xml:space="preserve"> -</w:t>
      </w:r>
      <w:r w:rsidRPr="009A6659">
        <w:rPr>
          <w:b/>
          <w:bCs/>
          <w:i/>
          <w:iCs/>
          <w:sz w:val="28"/>
          <w:szCs w:val="28"/>
        </w:rPr>
        <w:t xml:space="preserve"> </w:t>
      </w:r>
      <w:r>
        <w:rPr>
          <w:b/>
          <w:bCs/>
          <w:i/>
          <w:iCs/>
          <w:sz w:val="28"/>
          <w:szCs w:val="28"/>
        </w:rPr>
        <w:t xml:space="preserve">Qual è l’opinione </w:t>
      </w:r>
      <w:r w:rsidRPr="009A6659">
        <w:rPr>
          <w:b/>
          <w:bCs/>
          <w:i/>
          <w:iCs/>
          <w:sz w:val="28"/>
          <w:szCs w:val="28"/>
        </w:rPr>
        <w:t xml:space="preserve">sui </w:t>
      </w:r>
      <w:r>
        <w:rPr>
          <w:b/>
          <w:bCs/>
          <w:i/>
          <w:iCs/>
          <w:sz w:val="28"/>
          <w:szCs w:val="28"/>
        </w:rPr>
        <w:t xml:space="preserve">possibili </w:t>
      </w:r>
      <w:r w:rsidRPr="009A6659">
        <w:rPr>
          <w:b/>
          <w:bCs/>
          <w:i/>
          <w:iCs/>
          <w:sz w:val="28"/>
          <w:szCs w:val="28"/>
        </w:rPr>
        <w:t>vantaggi</w:t>
      </w:r>
      <w:r>
        <w:rPr>
          <w:b/>
          <w:bCs/>
          <w:i/>
          <w:iCs/>
          <w:sz w:val="28"/>
          <w:szCs w:val="28"/>
        </w:rPr>
        <w:t>/</w:t>
      </w:r>
      <w:r w:rsidRPr="009A6659">
        <w:rPr>
          <w:b/>
          <w:bCs/>
          <w:i/>
          <w:iCs/>
          <w:sz w:val="28"/>
          <w:szCs w:val="28"/>
        </w:rPr>
        <w:t xml:space="preserve">svantaggi </w:t>
      </w:r>
      <w:r>
        <w:rPr>
          <w:b/>
          <w:bCs/>
          <w:i/>
          <w:iCs/>
          <w:sz w:val="28"/>
          <w:szCs w:val="28"/>
        </w:rPr>
        <w:t>di calcolare il KPI prendendo a riferimento la spesa corrente</w:t>
      </w:r>
      <w:r w:rsidR="009F2717">
        <w:rPr>
          <w:b/>
          <w:bCs/>
          <w:i/>
          <w:iCs/>
          <w:sz w:val="28"/>
          <w:szCs w:val="28"/>
        </w:rPr>
        <w:t xml:space="preserve"> dell’impresa investita</w:t>
      </w:r>
      <w:r w:rsidRPr="009A6659">
        <w:rPr>
          <w:b/>
          <w:bCs/>
          <w:i/>
          <w:iCs/>
          <w:sz w:val="28"/>
          <w:szCs w:val="28"/>
        </w:rPr>
        <w:t>?</w:t>
      </w:r>
    </w:p>
    <w:p w14:paraId="33C966BC" w14:textId="5076FD5B" w:rsidR="009A6659" w:rsidRDefault="009A6659" w:rsidP="009A6659">
      <w:pPr>
        <w:spacing w:after="0" w:line="240" w:lineRule="auto"/>
        <w:jc w:val="both"/>
        <w:rPr>
          <w:b/>
          <w:bCs/>
          <w:i/>
          <w:iCs/>
          <w:sz w:val="28"/>
          <w:szCs w:val="28"/>
        </w:rPr>
      </w:pPr>
    </w:p>
    <w:p w14:paraId="4275BAB8" w14:textId="1AE5FF78" w:rsidR="009A6659" w:rsidRDefault="009A6659" w:rsidP="009A6659">
      <w:pPr>
        <w:spacing w:after="0" w:line="240" w:lineRule="auto"/>
        <w:jc w:val="both"/>
        <w:rPr>
          <w:b/>
          <w:bCs/>
          <w:i/>
          <w:iCs/>
          <w:sz w:val="28"/>
          <w:szCs w:val="28"/>
        </w:rPr>
      </w:pPr>
      <w:r w:rsidRPr="009A6659">
        <w:rPr>
          <w:b/>
          <w:bCs/>
          <w:i/>
          <w:iCs/>
          <w:sz w:val="28"/>
          <w:szCs w:val="28"/>
        </w:rPr>
        <w:t>Domanda 4</w:t>
      </w:r>
      <w:r>
        <w:rPr>
          <w:b/>
          <w:bCs/>
          <w:i/>
          <w:iCs/>
          <w:sz w:val="28"/>
          <w:szCs w:val="28"/>
        </w:rPr>
        <w:t>)</w:t>
      </w:r>
      <w:r w:rsidR="00593224">
        <w:rPr>
          <w:b/>
          <w:bCs/>
          <w:i/>
          <w:iCs/>
          <w:sz w:val="28"/>
          <w:szCs w:val="28"/>
        </w:rPr>
        <w:t xml:space="preserve"> -</w:t>
      </w:r>
      <w:r w:rsidRPr="009A6659">
        <w:rPr>
          <w:b/>
          <w:bCs/>
          <w:i/>
          <w:iCs/>
          <w:sz w:val="28"/>
          <w:szCs w:val="28"/>
        </w:rPr>
        <w:t xml:space="preserve"> Il KPI </w:t>
      </w:r>
      <w:r>
        <w:rPr>
          <w:b/>
          <w:bCs/>
          <w:i/>
          <w:iCs/>
          <w:sz w:val="28"/>
          <w:szCs w:val="28"/>
        </w:rPr>
        <w:t>considera</w:t>
      </w:r>
      <w:r w:rsidRPr="009A6659">
        <w:rPr>
          <w:b/>
          <w:bCs/>
          <w:i/>
          <w:iCs/>
          <w:sz w:val="28"/>
          <w:szCs w:val="28"/>
        </w:rPr>
        <w:t xml:space="preserve"> strumenti di capitale e di debito</w:t>
      </w:r>
      <w:r>
        <w:rPr>
          <w:b/>
          <w:bCs/>
          <w:i/>
          <w:iCs/>
          <w:sz w:val="28"/>
          <w:szCs w:val="28"/>
        </w:rPr>
        <w:t>. Qual è l’opinione rispetto alla possibile inclusione dei contratti derivati nel</w:t>
      </w:r>
      <w:r w:rsidRPr="009A6659">
        <w:rPr>
          <w:b/>
          <w:bCs/>
          <w:i/>
          <w:iCs/>
          <w:sz w:val="28"/>
          <w:szCs w:val="28"/>
        </w:rPr>
        <w:t xml:space="preserve"> </w:t>
      </w:r>
      <w:r w:rsidR="00780471">
        <w:rPr>
          <w:b/>
          <w:bCs/>
          <w:i/>
          <w:iCs/>
          <w:sz w:val="28"/>
          <w:szCs w:val="28"/>
        </w:rPr>
        <w:t>calcolo del KPI</w:t>
      </w:r>
      <w:r w:rsidRPr="009A6659">
        <w:rPr>
          <w:b/>
          <w:bCs/>
          <w:i/>
          <w:iCs/>
          <w:sz w:val="28"/>
          <w:szCs w:val="28"/>
        </w:rPr>
        <w:t>?</w:t>
      </w:r>
    </w:p>
    <w:p w14:paraId="310D7A62" w14:textId="11DA1BBA" w:rsidR="00780471" w:rsidRDefault="00780471" w:rsidP="009A6659">
      <w:pPr>
        <w:spacing w:after="0" w:line="240" w:lineRule="auto"/>
        <w:jc w:val="both"/>
      </w:pPr>
      <w:r w:rsidRPr="00780471">
        <w:t xml:space="preserve">Non </w:t>
      </w:r>
      <w:r>
        <w:t xml:space="preserve">è condivisibile la proposta di </w:t>
      </w:r>
      <w:r w:rsidRPr="00780471">
        <w:t>inclusione d</w:t>
      </w:r>
      <w:r>
        <w:t>ei</w:t>
      </w:r>
      <w:r w:rsidRPr="00780471">
        <w:t xml:space="preserve"> derivati </w:t>
      </w:r>
      <w:r>
        <w:t>nel</w:t>
      </w:r>
      <w:r w:rsidRPr="00780471">
        <w:t xml:space="preserve"> calcolo del KPI. La formula </w:t>
      </w:r>
      <w:r>
        <w:t>appare</w:t>
      </w:r>
      <w:r w:rsidRPr="00780471">
        <w:t xml:space="preserve"> già complessa e non è opportuno aumentare il livello di complessità. Inoltre, </w:t>
      </w:r>
      <w:r>
        <w:t>i fondi pensione utilizzano i contratti</w:t>
      </w:r>
      <w:r w:rsidRPr="00780471">
        <w:t xml:space="preserve"> derivati </w:t>
      </w:r>
      <w:r>
        <w:t>in modo limitato e soltanto</w:t>
      </w:r>
      <w:r w:rsidRPr="00780471">
        <w:t xml:space="preserve"> per finalità di copertura e </w:t>
      </w:r>
      <w:r>
        <w:t>migliore efficienza gestionale</w:t>
      </w:r>
      <w:r w:rsidR="00593224">
        <w:t>,</w:t>
      </w:r>
      <w:r>
        <w:t xml:space="preserve"> </w:t>
      </w:r>
      <w:r w:rsidR="00593224">
        <w:t>n</w:t>
      </w:r>
      <w:r w:rsidRPr="00780471">
        <w:t xml:space="preserve">on </w:t>
      </w:r>
      <w:r>
        <w:t xml:space="preserve">possono essere utilizzati </w:t>
      </w:r>
      <w:r w:rsidRPr="00780471">
        <w:t xml:space="preserve">per ottenere un rendimento. </w:t>
      </w:r>
      <w:r w:rsidR="00D71799">
        <w:t>I fondi pensione assumono una esposizione diretta o indiretta rispetto alle imprese finanziarie e non finanziarie soltanto tramite titoli di debito/capitale e p</w:t>
      </w:r>
      <w:r w:rsidRPr="00780471">
        <w:t xml:space="preserve">er questi motivi </w:t>
      </w:r>
      <w:r w:rsidR="00D71799">
        <w:t xml:space="preserve">è opportuno che </w:t>
      </w:r>
      <w:r w:rsidRPr="00780471">
        <w:t xml:space="preserve">il KPI </w:t>
      </w:r>
      <w:r w:rsidR="00D71799">
        <w:t>consideri soltanto tali strumenti</w:t>
      </w:r>
      <w:r w:rsidRPr="00780471">
        <w:t>.</w:t>
      </w:r>
    </w:p>
    <w:p w14:paraId="1F093B77" w14:textId="403B0B43" w:rsidR="00FA10B5" w:rsidRDefault="00FA10B5" w:rsidP="009A6659">
      <w:pPr>
        <w:spacing w:after="0" w:line="240" w:lineRule="auto"/>
        <w:jc w:val="both"/>
      </w:pPr>
    </w:p>
    <w:p w14:paraId="342BEAAC" w14:textId="4CFF60CE" w:rsidR="00FA10B5" w:rsidRDefault="00FA10B5" w:rsidP="009A6659">
      <w:pPr>
        <w:spacing w:after="0" w:line="240" w:lineRule="auto"/>
        <w:jc w:val="both"/>
        <w:rPr>
          <w:b/>
          <w:bCs/>
          <w:i/>
          <w:iCs/>
          <w:sz w:val="28"/>
          <w:szCs w:val="28"/>
        </w:rPr>
      </w:pPr>
      <w:r w:rsidRPr="00FA10B5">
        <w:rPr>
          <w:b/>
          <w:bCs/>
          <w:i/>
          <w:iCs/>
          <w:sz w:val="28"/>
          <w:szCs w:val="28"/>
        </w:rPr>
        <w:t>Domanda 5</w:t>
      </w:r>
      <w:r>
        <w:rPr>
          <w:b/>
          <w:bCs/>
          <w:i/>
          <w:iCs/>
          <w:sz w:val="28"/>
          <w:szCs w:val="28"/>
        </w:rPr>
        <w:t>)</w:t>
      </w:r>
      <w:r w:rsidR="00593224">
        <w:rPr>
          <w:b/>
          <w:bCs/>
          <w:i/>
          <w:iCs/>
          <w:sz w:val="28"/>
          <w:szCs w:val="28"/>
        </w:rPr>
        <w:t xml:space="preserve"> -</w:t>
      </w:r>
      <w:r w:rsidRPr="00FA10B5">
        <w:rPr>
          <w:b/>
          <w:bCs/>
          <w:i/>
          <w:iCs/>
          <w:sz w:val="28"/>
          <w:szCs w:val="28"/>
        </w:rPr>
        <w:t xml:space="preserve"> L'uso di "azioni" e "strumenti di debito" è sufficientemente chiaro nel definire </w:t>
      </w:r>
      <w:r w:rsidR="00A90C4B">
        <w:rPr>
          <w:b/>
          <w:bCs/>
          <w:i/>
          <w:iCs/>
          <w:sz w:val="28"/>
          <w:szCs w:val="28"/>
        </w:rPr>
        <w:t xml:space="preserve">gli </w:t>
      </w:r>
      <w:r w:rsidRPr="00FA10B5">
        <w:rPr>
          <w:b/>
          <w:bCs/>
          <w:i/>
          <w:iCs/>
          <w:sz w:val="28"/>
          <w:szCs w:val="28"/>
        </w:rPr>
        <w:t xml:space="preserve">strumenti </w:t>
      </w:r>
      <w:r w:rsidR="00A90C4B">
        <w:rPr>
          <w:b/>
          <w:bCs/>
          <w:i/>
          <w:iCs/>
          <w:sz w:val="28"/>
          <w:szCs w:val="28"/>
        </w:rPr>
        <w:t xml:space="preserve">finanziari </w:t>
      </w:r>
      <w:r w:rsidRPr="00FA10B5">
        <w:rPr>
          <w:b/>
          <w:bCs/>
          <w:i/>
          <w:iCs/>
          <w:sz w:val="28"/>
          <w:szCs w:val="28"/>
        </w:rPr>
        <w:t>emessi da società partecipate? In caso contrario, come potrebbe essere chiarito? Sono necessari specifici criteri di valutazione per garantire la comparabilità dell'informativa?</w:t>
      </w:r>
    </w:p>
    <w:p w14:paraId="74A789AB" w14:textId="222736D9" w:rsidR="00A90C4B" w:rsidRDefault="00A90C4B" w:rsidP="009A6659">
      <w:pPr>
        <w:spacing w:after="0" w:line="240" w:lineRule="auto"/>
        <w:jc w:val="both"/>
      </w:pPr>
      <w:r>
        <w:t>Sì, sono sufficient</w:t>
      </w:r>
      <w:r w:rsidR="00593224">
        <w:t>emente chiari</w:t>
      </w:r>
      <w:r>
        <w:t>.</w:t>
      </w:r>
    </w:p>
    <w:p w14:paraId="0859117D" w14:textId="5C0098D0" w:rsidR="00E40640" w:rsidRDefault="00E40640" w:rsidP="009A6659">
      <w:pPr>
        <w:spacing w:after="0" w:line="240" w:lineRule="auto"/>
        <w:jc w:val="both"/>
      </w:pPr>
    </w:p>
    <w:p w14:paraId="1DF34A71" w14:textId="0879503E" w:rsidR="00E40640" w:rsidRDefault="00E40640" w:rsidP="009A6659">
      <w:pPr>
        <w:spacing w:after="0" w:line="240" w:lineRule="auto"/>
        <w:jc w:val="both"/>
        <w:rPr>
          <w:b/>
          <w:bCs/>
          <w:i/>
          <w:iCs/>
          <w:sz w:val="28"/>
          <w:szCs w:val="28"/>
        </w:rPr>
      </w:pPr>
      <w:r w:rsidRPr="00E40640">
        <w:rPr>
          <w:b/>
          <w:bCs/>
          <w:i/>
          <w:iCs/>
          <w:sz w:val="28"/>
          <w:szCs w:val="28"/>
        </w:rPr>
        <w:t>Domanda 6</w:t>
      </w:r>
      <w:r>
        <w:rPr>
          <w:b/>
          <w:bCs/>
          <w:i/>
          <w:iCs/>
          <w:sz w:val="28"/>
          <w:szCs w:val="28"/>
        </w:rPr>
        <w:t>)</w:t>
      </w:r>
      <w:r w:rsidR="00593224">
        <w:rPr>
          <w:b/>
          <w:bCs/>
          <w:i/>
          <w:iCs/>
          <w:sz w:val="28"/>
          <w:szCs w:val="28"/>
        </w:rPr>
        <w:t xml:space="preserve"> -</w:t>
      </w:r>
      <w:r w:rsidRPr="00E40640">
        <w:rPr>
          <w:b/>
          <w:bCs/>
          <w:i/>
          <w:iCs/>
          <w:sz w:val="28"/>
          <w:szCs w:val="28"/>
        </w:rPr>
        <w:t xml:space="preserve"> </w:t>
      </w:r>
      <w:r>
        <w:rPr>
          <w:b/>
          <w:bCs/>
          <w:i/>
          <w:iCs/>
          <w:sz w:val="28"/>
          <w:szCs w:val="28"/>
        </w:rPr>
        <w:t>Qual è l’o</w:t>
      </w:r>
      <w:r w:rsidRPr="00E40640">
        <w:rPr>
          <w:b/>
          <w:bCs/>
          <w:i/>
          <w:iCs/>
          <w:sz w:val="28"/>
          <w:szCs w:val="28"/>
        </w:rPr>
        <w:t xml:space="preserve">pinione sull'inclusione di tutti gli investimenti del prodotto finanziario, comprese le obbligazioni </w:t>
      </w:r>
      <w:r>
        <w:rPr>
          <w:b/>
          <w:bCs/>
          <w:i/>
          <w:iCs/>
          <w:sz w:val="28"/>
          <w:szCs w:val="28"/>
        </w:rPr>
        <w:t>governative</w:t>
      </w:r>
      <w:r w:rsidRPr="00E40640">
        <w:rPr>
          <w:b/>
          <w:bCs/>
          <w:i/>
          <w:iCs/>
          <w:sz w:val="28"/>
          <w:szCs w:val="28"/>
        </w:rPr>
        <w:t xml:space="preserve"> e altre attività che non possono essere valutate per l'allineamento </w:t>
      </w:r>
      <w:r>
        <w:rPr>
          <w:b/>
          <w:bCs/>
          <w:i/>
          <w:iCs/>
          <w:sz w:val="28"/>
          <w:szCs w:val="28"/>
        </w:rPr>
        <w:t>alla Tassonomia</w:t>
      </w:r>
      <w:r w:rsidRPr="00E40640">
        <w:rPr>
          <w:b/>
          <w:bCs/>
          <w:i/>
          <w:iCs/>
          <w:sz w:val="28"/>
          <w:szCs w:val="28"/>
        </w:rPr>
        <w:t>, nel definire il denominatore per il KPI?</w:t>
      </w:r>
    </w:p>
    <w:p w14:paraId="7846DDD4" w14:textId="18686DA6" w:rsidR="00E062E6" w:rsidRDefault="002A50C5" w:rsidP="00E062E6">
      <w:pPr>
        <w:spacing w:after="0" w:line="240" w:lineRule="auto"/>
        <w:jc w:val="both"/>
      </w:pPr>
      <w:r w:rsidRPr="002A50C5">
        <w:t>I titoli di stato e altre attività che non possono essere</w:t>
      </w:r>
      <w:r w:rsidR="00B6209F">
        <w:t xml:space="preserve"> inclus</w:t>
      </w:r>
      <w:r w:rsidR="007C1782">
        <w:t>e</w:t>
      </w:r>
      <w:r w:rsidRPr="002A50C5">
        <w:t xml:space="preserve"> </w:t>
      </w:r>
      <w:r w:rsidR="00B6209F">
        <w:t>al numeratore del KPI</w:t>
      </w:r>
      <w:r w:rsidR="00B6209F" w:rsidRPr="002A50C5">
        <w:t xml:space="preserve"> non dovrebbero essere inclus</w:t>
      </w:r>
      <w:r w:rsidR="00C976C5">
        <w:t>e</w:t>
      </w:r>
      <w:r w:rsidR="00B6209F" w:rsidRPr="002A50C5">
        <w:t xml:space="preserve"> </w:t>
      </w:r>
      <w:r w:rsidR="00A02E79">
        <w:t>neanche al</w:t>
      </w:r>
      <w:r w:rsidR="00B6209F" w:rsidRPr="002A50C5">
        <w:t xml:space="preserve"> denominatore </w:t>
      </w:r>
      <w:r w:rsidR="00B6209F">
        <w:t xml:space="preserve">ai fini della </w:t>
      </w:r>
      <w:r w:rsidRPr="002A50C5">
        <w:t>valuta</w:t>
      </w:r>
      <w:r w:rsidR="00B6209F">
        <w:t>zione</w:t>
      </w:r>
      <w:r w:rsidRPr="002A50C5">
        <w:t xml:space="preserve"> </w:t>
      </w:r>
      <w:r w:rsidR="00B6209F">
        <w:t>del</w:t>
      </w:r>
      <w:r w:rsidRPr="002A50C5">
        <w:t xml:space="preserve">l'allineamento </w:t>
      </w:r>
      <w:r w:rsidR="00B6209F">
        <w:t>alla T</w:t>
      </w:r>
      <w:r w:rsidRPr="002A50C5">
        <w:t xml:space="preserve">assonomia. </w:t>
      </w:r>
      <w:r w:rsidR="00C976C5">
        <w:t>Il</w:t>
      </w:r>
      <w:r w:rsidRPr="002A50C5">
        <w:t xml:space="preserve"> </w:t>
      </w:r>
      <w:r w:rsidR="00371D3D">
        <w:t>KPI</w:t>
      </w:r>
      <w:r w:rsidRPr="002A50C5">
        <w:t xml:space="preserve"> dovrebbe essere calcolato solo tra insiemi di dati completamente confrontabili, per avere una misura chiara della quota di investimenti allineati alla tassonomia detenuti dal prodotto finanziario. </w:t>
      </w:r>
    </w:p>
    <w:p w14:paraId="41A18DE1" w14:textId="1C64B130" w:rsidR="002A50C5" w:rsidRDefault="00E062E6" w:rsidP="00E062E6">
      <w:pPr>
        <w:spacing w:after="0" w:line="240" w:lineRule="auto"/>
        <w:jc w:val="both"/>
      </w:pPr>
      <w:r>
        <w:t>P</w:t>
      </w:r>
      <w:r w:rsidR="002A50C5" w:rsidRPr="002A50C5">
        <w:t xml:space="preserve">er i prodotti finanziari in gran parte investiti in </w:t>
      </w:r>
      <w:r w:rsidR="00B6209F">
        <w:t>titoli di stato</w:t>
      </w:r>
      <w:r w:rsidR="002A50C5" w:rsidRPr="002A50C5">
        <w:t xml:space="preserve">, come </w:t>
      </w:r>
      <w:r w:rsidR="00B6209F">
        <w:t>generalmente avviene per i fondi pensione</w:t>
      </w:r>
      <w:r w:rsidR="002A50C5" w:rsidRPr="002A50C5">
        <w:t>, il criterio proposto ne</w:t>
      </w:r>
      <w:r w:rsidR="00B6209F">
        <w:t>l progetto di norme tecniche di regolamento</w:t>
      </w:r>
      <w:r w:rsidR="002A50C5" w:rsidRPr="002A50C5">
        <w:t xml:space="preserve"> sembra penalizzante, in quanto apparirebbero come prodotti finanziari </w:t>
      </w:r>
      <w:r w:rsidR="00B6209F">
        <w:t>poco allineati</w:t>
      </w:r>
      <w:r w:rsidR="002A50C5" w:rsidRPr="002A50C5">
        <w:t xml:space="preserve"> alla tassonomia</w:t>
      </w:r>
      <w:r>
        <w:t>, una rappresentazione non rispondente alla realtà che, di contro, vede i fondi pensione ne</w:t>
      </w:r>
      <w:r w:rsidR="008E5835">
        <w:t>l</w:t>
      </w:r>
      <w:r>
        <w:t xml:space="preserve"> ruolo di attori protagonisti</w:t>
      </w:r>
      <w:r w:rsidR="002A50C5" w:rsidRPr="002A50C5">
        <w:t xml:space="preserve"> del mercato </w:t>
      </w:r>
      <w:r>
        <w:t>Esg</w:t>
      </w:r>
      <w:r w:rsidR="002A50C5" w:rsidRPr="002A50C5">
        <w:t xml:space="preserve">. </w:t>
      </w:r>
      <w:r w:rsidR="008E5835">
        <w:t>La considerazione de</w:t>
      </w:r>
      <w:r w:rsidR="002A50C5" w:rsidRPr="002A50C5">
        <w:t xml:space="preserve">i titoli di stato ai fini del KPI rifletterebbe un quadro fuorviante </w:t>
      </w:r>
      <w:r w:rsidR="008E5835">
        <w:t>degli investimenti dei fondi pensione</w:t>
      </w:r>
      <w:r w:rsidR="002A50C5" w:rsidRPr="002A50C5">
        <w:t xml:space="preserve"> </w:t>
      </w:r>
      <w:r w:rsidR="008E5835">
        <w:t xml:space="preserve">che risulterebbero poco attenti alle problematiche </w:t>
      </w:r>
      <w:r w:rsidR="002A50C5" w:rsidRPr="002A50C5">
        <w:t>ambientali</w:t>
      </w:r>
      <w:r w:rsidR="008E5835">
        <w:t xml:space="preserve">, con </w:t>
      </w:r>
      <w:r w:rsidR="00593224">
        <w:t xml:space="preserve">il rischio che possa prodursi </w:t>
      </w:r>
      <w:r w:rsidR="008E5835">
        <w:t>un grave danno reputazionale</w:t>
      </w:r>
      <w:r w:rsidR="002A50C5" w:rsidRPr="002A50C5">
        <w:t xml:space="preserve">. </w:t>
      </w:r>
      <w:r w:rsidR="00593224">
        <w:t xml:space="preserve">Inoltre, </w:t>
      </w:r>
      <w:r w:rsidR="008E5835">
        <w:t>potrebbe</w:t>
      </w:r>
      <w:r w:rsidR="00593224">
        <w:t>ro</w:t>
      </w:r>
      <w:r w:rsidR="008E5835">
        <w:t xml:space="preserve"> </w:t>
      </w:r>
      <w:r w:rsidR="00593224">
        <w:t>esserci</w:t>
      </w:r>
      <w:r w:rsidR="002A50C5" w:rsidRPr="002A50C5">
        <w:t xml:space="preserve"> pressioni su</w:t>
      </w:r>
      <w:r w:rsidR="008E5835">
        <w:t>i consigli di amministrazione al fine di</w:t>
      </w:r>
      <w:r w:rsidR="002A50C5" w:rsidRPr="002A50C5">
        <w:t xml:space="preserve"> modificare l'a</w:t>
      </w:r>
      <w:r w:rsidR="007C1782">
        <w:t>llocazione strategica</w:t>
      </w:r>
      <w:r w:rsidR="002A50C5" w:rsidRPr="002A50C5">
        <w:t xml:space="preserve"> </w:t>
      </w:r>
      <w:r w:rsidR="008E5835">
        <w:t>degli</w:t>
      </w:r>
      <w:r w:rsidR="002A50C5" w:rsidRPr="002A50C5">
        <w:t xml:space="preserve"> investimenti in una direzione non </w:t>
      </w:r>
      <w:r w:rsidR="008E5835">
        <w:t>pienamente</w:t>
      </w:r>
      <w:r w:rsidR="002A50C5" w:rsidRPr="002A50C5">
        <w:t xml:space="preserve"> allineata agli interessi de</w:t>
      </w:r>
      <w:r w:rsidR="008E5835">
        <w:t>gli iscritti</w:t>
      </w:r>
      <w:r w:rsidR="002A50C5" w:rsidRPr="002A50C5">
        <w:t>/beneficiari</w:t>
      </w:r>
      <w:r w:rsidR="008E5835">
        <w:t>, come richiesto dalla direttiva 2016/2341</w:t>
      </w:r>
      <w:r w:rsidR="002A50C5" w:rsidRPr="002A50C5">
        <w:t>.</w:t>
      </w:r>
    </w:p>
    <w:p w14:paraId="5A47C2E7" w14:textId="0E0CF821" w:rsidR="00C976C5" w:rsidRDefault="00C976C5" w:rsidP="00E062E6">
      <w:pPr>
        <w:spacing w:after="0" w:line="240" w:lineRule="auto"/>
        <w:jc w:val="both"/>
      </w:pPr>
    </w:p>
    <w:p w14:paraId="2297C628" w14:textId="173421B7" w:rsidR="00C976C5" w:rsidRDefault="00C976C5" w:rsidP="00C976C5">
      <w:pPr>
        <w:spacing w:after="0" w:line="240" w:lineRule="auto"/>
        <w:jc w:val="both"/>
        <w:rPr>
          <w:b/>
          <w:bCs/>
          <w:i/>
          <w:iCs/>
          <w:sz w:val="28"/>
          <w:szCs w:val="28"/>
        </w:rPr>
      </w:pPr>
      <w:r w:rsidRPr="00C976C5">
        <w:rPr>
          <w:b/>
          <w:bCs/>
          <w:i/>
          <w:iCs/>
          <w:sz w:val="28"/>
          <w:szCs w:val="28"/>
        </w:rPr>
        <w:t>Domanda 7</w:t>
      </w:r>
      <w:r>
        <w:rPr>
          <w:b/>
          <w:bCs/>
          <w:i/>
          <w:iCs/>
          <w:sz w:val="28"/>
          <w:szCs w:val="28"/>
        </w:rPr>
        <w:t xml:space="preserve">) </w:t>
      </w:r>
      <w:r w:rsidR="00593224">
        <w:rPr>
          <w:b/>
          <w:bCs/>
          <w:i/>
          <w:iCs/>
          <w:sz w:val="28"/>
          <w:szCs w:val="28"/>
        </w:rPr>
        <w:t xml:space="preserve">- </w:t>
      </w:r>
      <w:r>
        <w:rPr>
          <w:b/>
          <w:bCs/>
          <w:i/>
          <w:iCs/>
          <w:sz w:val="28"/>
          <w:szCs w:val="28"/>
        </w:rPr>
        <w:t>Qual è l’o</w:t>
      </w:r>
      <w:r w:rsidRPr="00C976C5">
        <w:rPr>
          <w:b/>
          <w:bCs/>
          <w:i/>
          <w:iCs/>
          <w:sz w:val="28"/>
          <w:szCs w:val="28"/>
        </w:rPr>
        <w:t>pinione sulla dichiarazione di conformità delle attività del prodotto finanziario</w:t>
      </w:r>
      <w:r>
        <w:rPr>
          <w:b/>
          <w:bCs/>
          <w:i/>
          <w:iCs/>
          <w:sz w:val="28"/>
          <w:szCs w:val="28"/>
        </w:rPr>
        <w:t xml:space="preserve"> alla Tassonomia</w:t>
      </w:r>
      <w:r w:rsidRPr="00C976C5">
        <w:rPr>
          <w:b/>
          <w:bCs/>
          <w:i/>
          <w:iCs/>
          <w:sz w:val="28"/>
          <w:szCs w:val="28"/>
        </w:rPr>
        <w:t xml:space="preserve"> e </w:t>
      </w:r>
      <w:r>
        <w:rPr>
          <w:b/>
          <w:bCs/>
          <w:i/>
          <w:iCs/>
          <w:sz w:val="28"/>
          <w:szCs w:val="28"/>
        </w:rPr>
        <w:t>sul fatto che</w:t>
      </w:r>
      <w:r w:rsidRPr="00C976C5">
        <w:rPr>
          <w:b/>
          <w:bCs/>
          <w:i/>
          <w:iCs/>
          <w:sz w:val="28"/>
          <w:szCs w:val="28"/>
        </w:rPr>
        <w:t xml:space="preserve"> tale dichiarazione </w:t>
      </w:r>
      <w:r>
        <w:rPr>
          <w:b/>
          <w:bCs/>
          <w:i/>
          <w:iCs/>
          <w:sz w:val="28"/>
          <w:szCs w:val="28"/>
        </w:rPr>
        <w:t>possa</w:t>
      </w:r>
      <w:r w:rsidRPr="00C976C5">
        <w:rPr>
          <w:b/>
          <w:bCs/>
          <w:i/>
          <w:iCs/>
          <w:sz w:val="28"/>
          <w:szCs w:val="28"/>
        </w:rPr>
        <w:t xml:space="preserve"> essere soggetta a</w:t>
      </w:r>
      <w:r>
        <w:rPr>
          <w:b/>
          <w:bCs/>
          <w:i/>
          <w:iCs/>
          <w:sz w:val="28"/>
          <w:szCs w:val="28"/>
        </w:rPr>
        <w:t xml:space="preserve">lla valutazione di un </w:t>
      </w:r>
      <w:r w:rsidR="00E10856">
        <w:rPr>
          <w:b/>
          <w:bCs/>
          <w:i/>
          <w:iCs/>
          <w:sz w:val="28"/>
          <w:szCs w:val="28"/>
        </w:rPr>
        <w:t>esterno (auditor)</w:t>
      </w:r>
      <w:r w:rsidRPr="00C976C5">
        <w:rPr>
          <w:b/>
          <w:bCs/>
          <w:i/>
          <w:iCs/>
          <w:sz w:val="28"/>
          <w:szCs w:val="28"/>
        </w:rPr>
        <w:t xml:space="preserve"> o di terze parti? </w:t>
      </w:r>
    </w:p>
    <w:p w14:paraId="23FE98D2" w14:textId="267A9EBA" w:rsidR="00E10856" w:rsidRPr="00E10856" w:rsidRDefault="00E10856" w:rsidP="00E10856">
      <w:pPr>
        <w:spacing w:after="0" w:line="240" w:lineRule="auto"/>
        <w:jc w:val="both"/>
      </w:pPr>
      <w:r w:rsidRPr="00E10856">
        <w:t xml:space="preserve">Sebbene </w:t>
      </w:r>
      <w:r w:rsidR="008A25CF">
        <w:t xml:space="preserve">in apparenza </w:t>
      </w:r>
      <w:r>
        <w:t xml:space="preserve">tale dichiarazione </w:t>
      </w:r>
      <w:r w:rsidRPr="00E10856">
        <w:t xml:space="preserve">possa essere </w:t>
      </w:r>
      <w:r>
        <w:t>valutata</w:t>
      </w:r>
      <w:r w:rsidRPr="00E10856">
        <w:t xml:space="preserve"> come </w:t>
      </w:r>
      <w:r>
        <w:t>“</w:t>
      </w:r>
      <w:r w:rsidRPr="00E10856">
        <w:t>garanzia</w:t>
      </w:r>
      <w:r>
        <w:t>”</w:t>
      </w:r>
      <w:r w:rsidRPr="00E10856">
        <w:t xml:space="preserve"> di maggiore trasparenza, </w:t>
      </w:r>
      <w:r>
        <w:t>nella</w:t>
      </w:r>
      <w:r w:rsidRPr="00E10856">
        <w:t xml:space="preserve"> realtà non sembra aggiungere </w:t>
      </w:r>
      <w:r>
        <w:t>un reale valore</w:t>
      </w:r>
      <w:r w:rsidRPr="00E10856">
        <w:t xml:space="preserve"> al</w:t>
      </w:r>
      <w:r>
        <w:t xml:space="preserve"> complesso delle</w:t>
      </w:r>
      <w:r w:rsidRPr="00E10856">
        <w:t xml:space="preserve"> informazioni </w:t>
      </w:r>
      <w:r>
        <w:t>che verranno fornite</w:t>
      </w:r>
      <w:r w:rsidRPr="00E10856">
        <w:t xml:space="preserve"> per valutare l'allineamento </w:t>
      </w:r>
      <w:r>
        <w:t>alla Tassonomia</w:t>
      </w:r>
      <w:r w:rsidRPr="00E10856">
        <w:t xml:space="preserve"> del prodotto finanziario (grafic</w:t>
      </w:r>
      <w:r>
        <w:t>o a torta,</w:t>
      </w:r>
      <w:r w:rsidRPr="00E10856">
        <w:t xml:space="preserve"> KPI). In particolare</w:t>
      </w:r>
      <w:r w:rsidR="008A25CF">
        <w:t>,</w:t>
      </w:r>
      <w:r w:rsidRPr="00E10856">
        <w:t xml:space="preserve"> nella prima fase di applicazione del KPI </w:t>
      </w:r>
      <w:r w:rsidR="008A25CF">
        <w:t xml:space="preserve">un meccanismo di autocertificazione del partecipante ai mercati finanziari appare </w:t>
      </w:r>
      <w:r w:rsidRPr="00E10856">
        <w:t xml:space="preserve">più appropriato. </w:t>
      </w:r>
      <w:r w:rsidR="00C6163D">
        <w:t>Ad</w:t>
      </w:r>
      <w:r w:rsidRPr="00E10856">
        <w:t xml:space="preserve"> ogni </w:t>
      </w:r>
      <w:r w:rsidR="00C6163D">
        <w:t>modo,</w:t>
      </w:r>
      <w:r w:rsidRPr="00E10856">
        <w:t xml:space="preserve"> la dichiarazione non </w:t>
      </w:r>
      <w:r w:rsidR="00A02E79">
        <w:t>dovrebbe</w:t>
      </w:r>
      <w:r w:rsidRPr="00E10856">
        <w:t xml:space="preserve"> mai essere intesa come obbligatoria.</w:t>
      </w:r>
    </w:p>
    <w:p w14:paraId="78C63E00" w14:textId="4857E747" w:rsidR="00C6163D" w:rsidRDefault="00E10856" w:rsidP="00E10856">
      <w:pPr>
        <w:spacing w:after="0" w:line="240" w:lineRule="auto"/>
        <w:jc w:val="both"/>
      </w:pPr>
      <w:r w:rsidRPr="00E10856">
        <w:t xml:space="preserve">Non è chiaro </w:t>
      </w:r>
      <w:r w:rsidR="00C6163D">
        <w:t xml:space="preserve">a </w:t>
      </w:r>
      <w:r w:rsidRPr="00E10856">
        <w:t xml:space="preserve">quale entità </w:t>
      </w:r>
      <w:r w:rsidR="00C6163D">
        <w:t>ci si riferisc</w:t>
      </w:r>
      <w:r w:rsidR="00593224">
        <w:t>a</w:t>
      </w:r>
      <w:r w:rsidR="00C6163D">
        <w:t xml:space="preserve"> quando si fa riferimento a terze parti</w:t>
      </w:r>
      <w:r w:rsidRPr="00E10856">
        <w:t xml:space="preserve"> e quale livello di garanzia </w:t>
      </w:r>
      <w:r w:rsidR="00C6163D">
        <w:t>un tale soggetto</w:t>
      </w:r>
      <w:r w:rsidRPr="00E10856">
        <w:t xml:space="preserve"> potrebbe fornire a</w:t>
      </w:r>
      <w:r w:rsidR="00C6163D">
        <w:t xml:space="preserve">gli iscritti/beneficiari di un fondo pensione relativamente alla quota di investimenti allineati alla </w:t>
      </w:r>
      <w:r w:rsidRPr="00E10856">
        <w:t>Ta</w:t>
      </w:r>
      <w:r w:rsidR="00C6163D">
        <w:t>ssonomia</w:t>
      </w:r>
      <w:r w:rsidRPr="00E10856">
        <w:t xml:space="preserve">. </w:t>
      </w:r>
      <w:r w:rsidR="00C6163D">
        <w:t>Presumibilmente, l</w:t>
      </w:r>
      <w:r w:rsidRPr="00E10856">
        <w:t xml:space="preserve">a dichiarazione </w:t>
      </w:r>
      <w:r w:rsidR="00A02E79">
        <w:t>verrebbe</w:t>
      </w:r>
      <w:r w:rsidR="00C6163D">
        <w:t xml:space="preserve"> predisposta</w:t>
      </w:r>
      <w:r w:rsidRPr="00E10856">
        <w:t xml:space="preserve"> da società di consulenza, </w:t>
      </w:r>
      <w:r w:rsidR="00C6163D">
        <w:t>con un aggravio di costo per il</w:t>
      </w:r>
      <w:r w:rsidRPr="00E10856">
        <w:t xml:space="preserve"> piano pensionistico</w:t>
      </w:r>
      <w:r w:rsidR="00593224">
        <w:t xml:space="preserve"> che</w:t>
      </w:r>
      <w:r w:rsidR="00C6163D">
        <w:t xml:space="preserve"> </w:t>
      </w:r>
      <w:r w:rsidRPr="00E10856">
        <w:t xml:space="preserve">sarebbero trasferiti </w:t>
      </w:r>
      <w:r w:rsidR="00C6163D">
        <w:t>agli iscritti/</w:t>
      </w:r>
      <w:r w:rsidRPr="00E10856">
        <w:t xml:space="preserve">beneficiari. </w:t>
      </w:r>
    </w:p>
    <w:p w14:paraId="59E42AF3" w14:textId="4A156579" w:rsidR="00C6163D" w:rsidRDefault="00C6163D" w:rsidP="00E10856">
      <w:pPr>
        <w:spacing w:after="0" w:line="240" w:lineRule="auto"/>
        <w:jc w:val="both"/>
      </w:pPr>
      <w:r>
        <w:t xml:space="preserve">Nel </w:t>
      </w:r>
      <w:r w:rsidR="00E10856" w:rsidRPr="00E10856">
        <w:t xml:space="preserve">caso in cui </w:t>
      </w:r>
      <w:r>
        <w:t>gli attivi del fondo pensione</w:t>
      </w:r>
      <w:r w:rsidR="00E10856" w:rsidRPr="00E10856">
        <w:t xml:space="preserve"> siano investit</w:t>
      </w:r>
      <w:r w:rsidR="00A02E79">
        <w:t>i</w:t>
      </w:r>
      <w:r w:rsidR="00E10856" w:rsidRPr="00E10856">
        <w:t xml:space="preserve"> </w:t>
      </w:r>
      <w:r>
        <w:t>tramite convenzioni,</w:t>
      </w:r>
      <w:r w:rsidR="00E10856" w:rsidRPr="00E10856">
        <w:t xml:space="preserve"> sulla base di un mandato </w:t>
      </w:r>
      <w:r>
        <w:t>che definisce</w:t>
      </w:r>
      <w:r w:rsidR="00E10856" w:rsidRPr="00E10856">
        <w:t xml:space="preserve"> la politica di investimento da </w:t>
      </w:r>
      <w:r>
        <w:t>attuare</w:t>
      </w:r>
      <w:r w:rsidR="00E10856" w:rsidRPr="00E10856">
        <w:t>, una dichiarazione fornita da</w:t>
      </w:r>
      <w:r>
        <w:t>l</w:t>
      </w:r>
      <w:r w:rsidR="00E10856" w:rsidRPr="00E10856">
        <w:t xml:space="preserve"> </w:t>
      </w:r>
      <w:r>
        <w:t>gestore</w:t>
      </w:r>
      <w:r w:rsidR="00E10856" w:rsidRPr="00E10856">
        <w:t xml:space="preserve"> dovrebbe essere accettat</w:t>
      </w:r>
      <w:r>
        <w:t>a</w:t>
      </w:r>
      <w:r w:rsidR="00E10856" w:rsidRPr="00E10856">
        <w:t xml:space="preserve"> come dichiarazione</w:t>
      </w:r>
      <w:r>
        <w:t xml:space="preserve"> di allineamento </w:t>
      </w:r>
      <w:r w:rsidR="00593224">
        <w:t>de</w:t>
      </w:r>
      <w:r>
        <w:t>gli investimenti alla Tassonomia</w:t>
      </w:r>
      <w:r w:rsidR="00E10856" w:rsidRPr="00E10856">
        <w:t xml:space="preserve">. </w:t>
      </w:r>
    </w:p>
    <w:p w14:paraId="3E86EC4B" w14:textId="34ACF17D" w:rsidR="00E10856" w:rsidRDefault="00E10856" w:rsidP="00E10856">
      <w:pPr>
        <w:spacing w:after="0" w:line="240" w:lineRule="auto"/>
        <w:jc w:val="both"/>
      </w:pPr>
      <w:r w:rsidRPr="00E10856">
        <w:t>Il riferimento all'assurance fornit</w:t>
      </w:r>
      <w:r w:rsidR="00C6163D">
        <w:t>a</w:t>
      </w:r>
      <w:r w:rsidRPr="00E10856">
        <w:t xml:space="preserve"> da un </w:t>
      </w:r>
      <w:r w:rsidR="00A02E79">
        <w:t>auditor</w:t>
      </w:r>
      <w:r w:rsidRPr="00E10856">
        <w:t xml:space="preserve"> dovrebbe essere </w:t>
      </w:r>
      <w:r w:rsidR="00C6163D">
        <w:t>eliminato dal testo dei progetti di norme tecniche di regolamento</w:t>
      </w:r>
      <w:r w:rsidRPr="00E10856">
        <w:t xml:space="preserve"> </w:t>
      </w:r>
      <w:r w:rsidR="00593224">
        <w:t>poiché da esso potrebbero derivare oneri eccessivi</w:t>
      </w:r>
      <w:r w:rsidRPr="00E10856">
        <w:t xml:space="preserve">. </w:t>
      </w:r>
      <w:r w:rsidR="00C6163D">
        <w:t>A</w:t>
      </w:r>
      <w:r w:rsidRPr="00E10856">
        <w:t xml:space="preserve"> ogni </w:t>
      </w:r>
      <w:r w:rsidR="00C6163D">
        <w:t>modo</w:t>
      </w:r>
      <w:r w:rsidRPr="00E10856">
        <w:t xml:space="preserve">, </w:t>
      </w:r>
      <w:r w:rsidR="00C6163D">
        <w:t>nel caso dei fondi pensione dotati della</w:t>
      </w:r>
      <w:r w:rsidRPr="00E10856">
        <w:t xml:space="preserve"> funzione di </w:t>
      </w:r>
      <w:r w:rsidR="001625C3">
        <w:t>revisione interna</w:t>
      </w:r>
      <w:r w:rsidRPr="00E10856">
        <w:t xml:space="preserve">, </w:t>
      </w:r>
      <w:r w:rsidR="00A02E79">
        <w:t>una attestazione</w:t>
      </w:r>
      <w:r w:rsidRPr="00E10856">
        <w:t xml:space="preserve"> fornita da tale organismo</w:t>
      </w:r>
      <w:r w:rsidR="00A02E79">
        <w:t>, nell’ambito dei controlli effettuati sulla forma pensionistica</w:t>
      </w:r>
      <w:r w:rsidR="00BC16E9">
        <w:t>,</w:t>
      </w:r>
      <w:r w:rsidRPr="00E10856">
        <w:t xml:space="preserve"> dovrebbe essere considerata </w:t>
      </w:r>
      <w:r w:rsidR="00A02FF1">
        <w:t>come valida ai fini della certificazione dell’allineamento degli investimenti alla Tassonomia</w:t>
      </w:r>
      <w:r w:rsidRPr="00E10856">
        <w:t>.</w:t>
      </w:r>
    </w:p>
    <w:p w14:paraId="2906C032" w14:textId="030807E6" w:rsidR="00F446F8" w:rsidRDefault="00F446F8" w:rsidP="00E10856">
      <w:pPr>
        <w:spacing w:after="0" w:line="240" w:lineRule="auto"/>
        <w:jc w:val="both"/>
      </w:pPr>
    </w:p>
    <w:p w14:paraId="6623ABD7" w14:textId="7A4A921F" w:rsidR="00F446F8" w:rsidRDefault="00F446F8" w:rsidP="00F446F8">
      <w:pPr>
        <w:spacing w:after="0" w:line="240" w:lineRule="auto"/>
        <w:jc w:val="both"/>
        <w:rPr>
          <w:b/>
          <w:bCs/>
          <w:i/>
          <w:iCs/>
          <w:sz w:val="28"/>
          <w:szCs w:val="28"/>
        </w:rPr>
      </w:pPr>
      <w:r w:rsidRPr="00F446F8">
        <w:rPr>
          <w:b/>
          <w:bCs/>
          <w:i/>
          <w:iCs/>
          <w:sz w:val="28"/>
          <w:szCs w:val="28"/>
        </w:rPr>
        <w:t>Domanda 8</w:t>
      </w:r>
      <w:r>
        <w:rPr>
          <w:b/>
          <w:bCs/>
          <w:i/>
          <w:iCs/>
          <w:sz w:val="28"/>
          <w:szCs w:val="28"/>
        </w:rPr>
        <w:t>)</w:t>
      </w:r>
      <w:r w:rsidRPr="00F446F8">
        <w:rPr>
          <w:b/>
          <w:bCs/>
          <w:i/>
          <w:iCs/>
          <w:sz w:val="28"/>
          <w:szCs w:val="28"/>
        </w:rPr>
        <w:t xml:space="preserve"> </w:t>
      </w:r>
      <w:r w:rsidR="00593224">
        <w:rPr>
          <w:b/>
          <w:bCs/>
          <w:i/>
          <w:iCs/>
          <w:sz w:val="28"/>
          <w:szCs w:val="28"/>
        </w:rPr>
        <w:t xml:space="preserve">- </w:t>
      </w:r>
      <w:r>
        <w:rPr>
          <w:b/>
          <w:bCs/>
          <w:i/>
          <w:iCs/>
          <w:sz w:val="28"/>
          <w:szCs w:val="28"/>
        </w:rPr>
        <w:t>Qual è l’</w:t>
      </w:r>
      <w:r w:rsidRPr="00F446F8">
        <w:rPr>
          <w:b/>
          <w:bCs/>
          <w:i/>
          <w:iCs/>
          <w:sz w:val="28"/>
          <w:szCs w:val="28"/>
        </w:rPr>
        <w:t>opinion</w:t>
      </w:r>
      <w:r>
        <w:rPr>
          <w:b/>
          <w:bCs/>
          <w:i/>
          <w:iCs/>
          <w:sz w:val="28"/>
          <w:szCs w:val="28"/>
        </w:rPr>
        <w:t>e</w:t>
      </w:r>
      <w:r w:rsidRPr="00F446F8">
        <w:rPr>
          <w:b/>
          <w:bCs/>
          <w:i/>
          <w:iCs/>
          <w:sz w:val="28"/>
          <w:szCs w:val="28"/>
        </w:rPr>
        <w:t xml:space="preserve"> sul</w:t>
      </w:r>
      <w:r>
        <w:rPr>
          <w:b/>
          <w:bCs/>
          <w:i/>
          <w:iCs/>
          <w:sz w:val="28"/>
          <w:szCs w:val="28"/>
        </w:rPr>
        <w:t xml:space="preserve"> fatto che gli allegati sulla sostenibilità per il Bilancio ricalcano quelli proposto per l’informativa precontrattuale (Nota Informativa-Appendice sostenibilità)</w:t>
      </w:r>
      <w:r w:rsidRPr="00F446F8">
        <w:rPr>
          <w:b/>
          <w:bCs/>
          <w:i/>
          <w:iCs/>
          <w:sz w:val="28"/>
          <w:szCs w:val="28"/>
        </w:rPr>
        <w:t>?</w:t>
      </w:r>
    </w:p>
    <w:p w14:paraId="6C9125FD" w14:textId="57496122" w:rsidR="00F446F8" w:rsidRDefault="00F446F8" w:rsidP="00F446F8">
      <w:pPr>
        <w:spacing w:after="0" w:line="240" w:lineRule="auto"/>
        <w:jc w:val="both"/>
      </w:pPr>
      <w:r>
        <w:lastRenderedPageBreak/>
        <w:t xml:space="preserve">L’approccio seguito da Eiopa, Esma e Eba è condivisibile poiché rappresenta una semplificazione degli adempimenti da realizzare. </w:t>
      </w:r>
    </w:p>
    <w:p w14:paraId="35203BEE" w14:textId="77777777" w:rsidR="00593224" w:rsidRDefault="00593224" w:rsidP="00F446F8">
      <w:pPr>
        <w:spacing w:after="0" w:line="240" w:lineRule="auto"/>
        <w:jc w:val="both"/>
      </w:pPr>
    </w:p>
    <w:p w14:paraId="5F59D967" w14:textId="61EDF343" w:rsidR="00C47679" w:rsidRDefault="00C47679" w:rsidP="00F446F8">
      <w:pPr>
        <w:spacing w:after="0" w:line="240" w:lineRule="auto"/>
        <w:jc w:val="both"/>
        <w:rPr>
          <w:b/>
          <w:bCs/>
          <w:i/>
          <w:iCs/>
          <w:sz w:val="28"/>
          <w:szCs w:val="28"/>
        </w:rPr>
      </w:pPr>
      <w:r w:rsidRPr="00C47679">
        <w:rPr>
          <w:b/>
          <w:bCs/>
          <w:i/>
          <w:iCs/>
          <w:sz w:val="28"/>
          <w:szCs w:val="28"/>
        </w:rPr>
        <w:t>Domanda 9</w:t>
      </w:r>
      <w:r>
        <w:rPr>
          <w:b/>
          <w:bCs/>
          <w:i/>
          <w:iCs/>
          <w:sz w:val="28"/>
          <w:szCs w:val="28"/>
        </w:rPr>
        <w:t>)</w:t>
      </w:r>
      <w:r w:rsidR="00593224">
        <w:rPr>
          <w:b/>
          <w:bCs/>
          <w:i/>
          <w:iCs/>
          <w:sz w:val="28"/>
          <w:szCs w:val="28"/>
        </w:rPr>
        <w:t xml:space="preserve"> -</w:t>
      </w:r>
      <w:r w:rsidRPr="00C47679">
        <w:rPr>
          <w:b/>
          <w:bCs/>
          <w:i/>
          <w:iCs/>
          <w:sz w:val="28"/>
          <w:szCs w:val="28"/>
        </w:rPr>
        <w:t xml:space="preserve"> </w:t>
      </w:r>
      <w:r>
        <w:rPr>
          <w:b/>
          <w:bCs/>
          <w:i/>
          <w:iCs/>
          <w:sz w:val="28"/>
          <w:szCs w:val="28"/>
        </w:rPr>
        <w:t>Qual è l’o</w:t>
      </w:r>
      <w:r w:rsidRPr="00C47679">
        <w:rPr>
          <w:b/>
          <w:bCs/>
          <w:i/>
          <w:iCs/>
          <w:sz w:val="28"/>
          <w:szCs w:val="28"/>
        </w:rPr>
        <w:t>pinion</w:t>
      </w:r>
      <w:r>
        <w:rPr>
          <w:b/>
          <w:bCs/>
          <w:i/>
          <w:iCs/>
          <w:sz w:val="28"/>
          <w:szCs w:val="28"/>
        </w:rPr>
        <w:t>e</w:t>
      </w:r>
      <w:r w:rsidRPr="00C47679">
        <w:rPr>
          <w:b/>
          <w:bCs/>
          <w:i/>
          <w:iCs/>
          <w:sz w:val="28"/>
          <w:szCs w:val="28"/>
        </w:rPr>
        <w:t xml:space="preserve"> </w:t>
      </w:r>
      <w:r>
        <w:rPr>
          <w:b/>
          <w:bCs/>
          <w:i/>
          <w:iCs/>
          <w:sz w:val="28"/>
          <w:szCs w:val="28"/>
        </w:rPr>
        <w:t>sulle modifiche ai template per la Nota informativa e il bilancio</w:t>
      </w:r>
      <w:r w:rsidRPr="00C47679">
        <w:rPr>
          <w:b/>
          <w:bCs/>
          <w:i/>
          <w:iCs/>
          <w:sz w:val="28"/>
          <w:szCs w:val="28"/>
        </w:rPr>
        <w:t>?</w:t>
      </w:r>
      <w:r>
        <w:rPr>
          <w:b/>
          <w:bCs/>
          <w:i/>
          <w:iCs/>
          <w:sz w:val="28"/>
          <w:szCs w:val="28"/>
        </w:rPr>
        <w:t xml:space="preserve"> </w:t>
      </w:r>
    </w:p>
    <w:p w14:paraId="5789B290" w14:textId="30DF272F" w:rsidR="00921010" w:rsidRPr="00921010" w:rsidRDefault="00921010" w:rsidP="00921010">
      <w:pPr>
        <w:spacing w:after="0" w:line="240" w:lineRule="auto"/>
        <w:jc w:val="both"/>
      </w:pPr>
      <w:r w:rsidRPr="00921010">
        <w:t xml:space="preserve">La </w:t>
      </w:r>
      <w:r>
        <w:t>trasparenza</w:t>
      </w:r>
      <w:r w:rsidRPr="00921010">
        <w:t xml:space="preserve"> nei confronti de</w:t>
      </w:r>
      <w:r>
        <w:t>gl</w:t>
      </w:r>
      <w:r w:rsidRPr="00921010">
        <w:t xml:space="preserve">i </w:t>
      </w:r>
      <w:r>
        <w:t>iscritti/</w:t>
      </w:r>
      <w:r w:rsidRPr="00921010">
        <w:t xml:space="preserve">beneficiari </w:t>
      </w:r>
      <w:r>
        <w:t>dei fondi pensione</w:t>
      </w:r>
      <w:r w:rsidRPr="00921010">
        <w:t xml:space="preserve"> (e, più in generale, nei confronti di qualsiasi </w:t>
      </w:r>
      <w:r>
        <w:t>sottoscrittore di</w:t>
      </w:r>
      <w:r w:rsidRPr="00921010">
        <w:t xml:space="preserve"> prodott</w:t>
      </w:r>
      <w:r>
        <w:t>i</w:t>
      </w:r>
      <w:r w:rsidRPr="00921010">
        <w:t xml:space="preserve"> finanziari)</w:t>
      </w:r>
      <w:r>
        <w:t xml:space="preserve"> relativa alle caratteristiche del piano </w:t>
      </w:r>
      <w:r w:rsidRPr="00921010">
        <w:t>dovrebbe essere semplice e focalizzata su</w:t>
      </w:r>
      <w:r>
        <w:t>gli elementi di maggiore rilievo,</w:t>
      </w:r>
      <w:r w:rsidRPr="00921010">
        <w:t xml:space="preserve"> inclus</w:t>
      </w:r>
      <w:r>
        <w:t xml:space="preserve">i i fattori </w:t>
      </w:r>
      <w:r w:rsidRPr="00921010">
        <w:t>Esg</w:t>
      </w:r>
      <w:r>
        <w:t xml:space="preserve"> connessi agli investimenti</w:t>
      </w:r>
      <w:r w:rsidRPr="00921010">
        <w:t>.</w:t>
      </w:r>
      <w:r w:rsidR="00BC16E9">
        <w:t xml:space="preserve"> Di contro, g</w:t>
      </w:r>
      <w:r>
        <w:t>li schemi proposti nei progetti di norme tecniche di regolamento</w:t>
      </w:r>
      <w:r w:rsidRPr="00921010">
        <w:t xml:space="preserve"> </w:t>
      </w:r>
      <w:r>
        <w:t>del</w:t>
      </w:r>
      <w:r w:rsidRPr="00921010">
        <w:t xml:space="preserve"> 4 febbraio 2021 </w:t>
      </w:r>
      <w:r>
        <w:t xml:space="preserve">appaiono </w:t>
      </w:r>
      <w:r w:rsidRPr="00921010">
        <w:t xml:space="preserve">complessi e </w:t>
      </w:r>
      <w:r>
        <w:t>eccessivamente</w:t>
      </w:r>
      <w:r w:rsidRPr="00921010">
        <w:t xml:space="preserve"> lunghi. </w:t>
      </w:r>
      <w:r>
        <w:t>Le informazioni da riportare negli schemi sono di tipo tecnico e specialistico</w:t>
      </w:r>
      <w:r w:rsidR="00BC16E9">
        <w:t>;</w:t>
      </w:r>
      <w:r>
        <w:t xml:space="preserve"> una modalità di rappresentazione inadeguata rischierebbe di vanificare gli sforzi informativi</w:t>
      </w:r>
      <w:r w:rsidRPr="00921010">
        <w:t xml:space="preserve">. </w:t>
      </w:r>
      <w:r>
        <w:t>Paradossalmente, nel caso della Nota informativa, le informazioni da includere nell’Appendice sulla sostenibilità</w:t>
      </w:r>
      <w:r w:rsidR="00970D54">
        <w:t xml:space="preserve"> rischiano di essere più consistenti rispetto a quelle contenute nella sezione informazioni chiave per l’aderente, dove sono riassunte le caratteristiche principali del piano</w:t>
      </w:r>
      <w:r w:rsidRPr="00921010">
        <w:t>.</w:t>
      </w:r>
    </w:p>
    <w:p w14:paraId="064F7EB0" w14:textId="4B19DE63" w:rsidR="00921010" w:rsidRDefault="00970D54" w:rsidP="00921010">
      <w:pPr>
        <w:spacing w:after="0" w:line="240" w:lineRule="auto"/>
        <w:jc w:val="both"/>
      </w:pPr>
      <w:r>
        <w:t>Il Regolamento 2019/2088</w:t>
      </w:r>
      <w:r w:rsidR="00921010" w:rsidRPr="00921010">
        <w:t xml:space="preserve"> non tiene conto di un principio di proporzionalità per diverse entità finanziarie, che invece sarebbe molto utile per </w:t>
      </w:r>
      <w:r>
        <w:t>i fondi pensione</w:t>
      </w:r>
      <w:r w:rsidR="00921010" w:rsidRPr="00921010">
        <w:t xml:space="preserve">. </w:t>
      </w:r>
      <w:r>
        <w:t>Auspicabilmente</w:t>
      </w:r>
      <w:r w:rsidR="00921010" w:rsidRPr="00921010">
        <w:t xml:space="preserve"> le modifiche a</w:t>
      </w:r>
      <w:r>
        <w:t xml:space="preserve">i progetti di norme tecniche di regolamento che saranno apportate a valle dell’attuale consultazione dovrebbero </w:t>
      </w:r>
      <w:r w:rsidR="00921010" w:rsidRPr="00921010">
        <w:t xml:space="preserve">essere quanto più limitate possibile e non dovrebbero aumentare ulteriormente la loro complessità. Ciò sarebbe utile sia in termini di </w:t>
      </w:r>
      <w:r>
        <w:t>chiarezza della trasparenza a favore degli iscritti/beneficiari</w:t>
      </w:r>
      <w:r w:rsidR="00921010" w:rsidRPr="00921010">
        <w:t xml:space="preserve"> </w:t>
      </w:r>
      <w:r>
        <w:t>dei fondi pensione,</w:t>
      </w:r>
      <w:r w:rsidR="00921010" w:rsidRPr="00921010">
        <w:t xml:space="preserve"> sia per facilitare l</w:t>
      </w:r>
      <w:r>
        <w:t>’adeguamento alle nuove previsioni</w:t>
      </w:r>
      <w:r w:rsidR="00921010" w:rsidRPr="00921010">
        <w:t xml:space="preserve"> da parte </w:t>
      </w:r>
      <w:r>
        <w:t>dei fondi pensione come pure delle</w:t>
      </w:r>
      <w:r w:rsidR="00921010" w:rsidRPr="00921010">
        <w:t xml:space="preserve"> altre entità finanziarie.</w:t>
      </w:r>
    </w:p>
    <w:p w14:paraId="3A754C5D" w14:textId="6539A385" w:rsidR="00572510" w:rsidRDefault="00572510" w:rsidP="00921010">
      <w:pPr>
        <w:spacing w:after="0" w:line="240" w:lineRule="auto"/>
        <w:jc w:val="both"/>
      </w:pPr>
      <w:r>
        <w:t xml:space="preserve">Eiopa Esma ed Eba potrebbero considerare l’opportunità offerta dalla consultazione per chiarire se, nel caso un prodotto finanziario preveda più di una opzione d’investimento che lo qualifichi ai sensi dell’ Art. 8 o dell’Art. 9 del Reg. 2019/2088, le informazioni rilevanti possano essere incluse in un unico schema o vadano riportate separatamente. Inoltre, potrebbe essere utile fornire ulteriori indicazioni relativamente ai confronti richiesti dagli articoli 63 e 69 delle proposte di standard di regolamento in consultazione. </w:t>
      </w:r>
    </w:p>
    <w:p w14:paraId="416F4DF4" w14:textId="660E53E4" w:rsidR="00970D54" w:rsidRDefault="00970D54" w:rsidP="00921010">
      <w:pPr>
        <w:spacing w:after="0" w:line="240" w:lineRule="auto"/>
        <w:jc w:val="both"/>
      </w:pPr>
    </w:p>
    <w:p w14:paraId="4EB55241" w14:textId="35233B13" w:rsidR="00970D54" w:rsidRDefault="00970D54" w:rsidP="00970D54">
      <w:pPr>
        <w:spacing w:after="0" w:line="240" w:lineRule="auto"/>
        <w:jc w:val="both"/>
        <w:rPr>
          <w:b/>
          <w:bCs/>
          <w:i/>
          <w:iCs/>
          <w:sz w:val="28"/>
          <w:szCs w:val="28"/>
        </w:rPr>
      </w:pPr>
      <w:r w:rsidRPr="00970D54">
        <w:rPr>
          <w:b/>
          <w:bCs/>
          <w:i/>
          <w:iCs/>
          <w:sz w:val="28"/>
          <w:szCs w:val="28"/>
        </w:rPr>
        <w:t>Domanda 10</w:t>
      </w:r>
      <w:r>
        <w:rPr>
          <w:b/>
          <w:bCs/>
          <w:i/>
          <w:iCs/>
          <w:sz w:val="28"/>
          <w:szCs w:val="28"/>
        </w:rPr>
        <w:t>)</w:t>
      </w:r>
      <w:r w:rsidRPr="00970D54">
        <w:rPr>
          <w:b/>
          <w:bCs/>
          <w:i/>
          <w:iCs/>
          <w:sz w:val="28"/>
          <w:szCs w:val="28"/>
        </w:rPr>
        <w:t xml:space="preserve"> </w:t>
      </w:r>
      <w:r>
        <w:rPr>
          <w:b/>
          <w:bCs/>
          <w:i/>
          <w:iCs/>
          <w:sz w:val="28"/>
          <w:szCs w:val="28"/>
        </w:rPr>
        <w:t>I progetti di norme tecniche di regolamento</w:t>
      </w:r>
      <w:r w:rsidRPr="00970D54">
        <w:rPr>
          <w:b/>
          <w:bCs/>
          <w:i/>
          <w:iCs/>
          <w:sz w:val="28"/>
          <w:szCs w:val="28"/>
        </w:rPr>
        <w:t xml:space="preserve"> propon</w:t>
      </w:r>
      <w:r>
        <w:rPr>
          <w:b/>
          <w:bCs/>
          <w:i/>
          <w:iCs/>
          <w:sz w:val="28"/>
          <w:szCs w:val="28"/>
        </w:rPr>
        <w:t>gono</w:t>
      </w:r>
      <w:r w:rsidRPr="00970D54">
        <w:rPr>
          <w:b/>
          <w:bCs/>
          <w:i/>
          <w:iCs/>
          <w:sz w:val="28"/>
          <w:szCs w:val="28"/>
        </w:rPr>
        <w:t xml:space="preserve"> </w:t>
      </w:r>
      <w:r>
        <w:rPr>
          <w:b/>
          <w:bCs/>
          <w:i/>
          <w:iCs/>
          <w:sz w:val="28"/>
          <w:szCs w:val="28"/>
        </w:rPr>
        <w:t xml:space="preserve">schemi </w:t>
      </w:r>
      <w:r w:rsidRPr="00970D54">
        <w:rPr>
          <w:b/>
          <w:bCs/>
          <w:i/>
          <w:iCs/>
          <w:sz w:val="28"/>
          <w:szCs w:val="28"/>
        </w:rPr>
        <w:t xml:space="preserve">precontrattuali e per i bilanci </w:t>
      </w:r>
      <w:r>
        <w:rPr>
          <w:b/>
          <w:bCs/>
          <w:i/>
          <w:iCs/>
          <w:sz w:val="28"/>
          <w:szCs w:val="28"/>
        </w:rPr>
        <w:t>uniformi</w:t>
      </w:r>
      <w:r w:rsidRPr="00970D54">
        <w:rPr>
          <w:b/>
          <w:bCs/>
          <w:i/>
          <w:iCs/>
          <w:sz w:val="28"/>
          <w:szCs w:val="28"/>
        </w:rPr>
        <w:t xml:space="preserve"> </w:t>
      </w:r>
      <w:r>
        <w:rPr>
          <w:b/>
          <w:bCs/>
          <w:i/>
          <w:iCs/>
          <w:sz w:val="28"/>
          <w:szCs w:val="28"/>
        </w:rPr>
        <w:t>per</w:t>
      </w:r>
      <w:r w:rsidRPr="00970D54">
        <w:rPr>
          <w:b/>
          <w:bCs/>
          <w:i/>
          <w:iCs/>
          <w:sz w:val="28"/>
          <w:szCs w:val="28"/>
        </w:rPr>
        <w:t xml:space="preserve"> tutti</w:t>
      </w:r>
      <w:r>
        <w:rPr>
          <w:b/>
          <w:bCs/>
          <w:i/>
          <w:iCs/>
          <w:sz w:val="28"/>
          <w:szCs w:val="28"/>
        </w:rPr>
        <w:t xml:space="preserve"> i p</w:t>
      </w:r>
      <w:r w:rsidRPr="00970D54">
        <w:rPr>
          <w:b/>
          <w:bCs/>
          <w:i/>
          <w:iCs/>
          <w:sz w:val="28"/>
          <w:szCs w:val="28"/>
        </w:rPr>
        <w:t xml:space="preserve">rodotti </w:t>
      </w:r>
      <w:r>
        <w:rPr>
          <w:b/>
          <w:bCs/>
          <w:i/>
          <w:iCs/>
          <w:sz w:val="28"/>
          <w:szCs w:val="28"/>
        </w:rPr>
        <w:t xml:space="preserve">finanziari ex </w:t>
      </w:r>
      <w:r w:rsidRPr="00970D54">
        <w:rPr>
          <w:b/>
          <w:bCs/>
          <w:i/>
          <w:iCs/>
          <w:sz w:val="28"/>
          <w:szCs w:val="28"/>
        </w:rPr>
        <w:t>articol</w:t>
      </w:r>
      <w:r>
        <w:rPr>
          <w:b/>
          <w:bCs/>
          <w:i/>
          <w:iCs/>
          <w:sz w:val="28"/>
          <w:szCs w:val="28"/>
        </w:rPr>
        <w:t>i</w:t>
      </w:r>
      <w:r w:rsidRPr="00970D54">
        <w:rPr>
          <w:b/>
          <w:bCs/>
          <w:i/>
          <w:iCs/>
          <w:sz w:val="28"/>
          <w:szCs w:val="28"/>
        </w:rPr>
        <w:t xml:space="preserve"> 8 e 9 del</w:t>
      </w:r>
      <w:r>
        <w:rPr>
          <w:b/>
          <w:bCs/>
          <w:i/>
          <w:iCs/>
          <w:sz w:val="28"/>
          <w:szCs w:val="28"/>
        </w:rPr>
        <w:t xml:space="preserve"> Reg. 2019/2088</w:t>
      </w:r>
      <w:r w:rsidRPr="00970D54">
        <w:rPr>
          <w:b/>
          <w:bCs/>
          <w:i/>
          <w:iCs/>
          <w:sz w:val="28"/>
          <w:szCs w:val="28"/>
        </w:rPr>
        <w:t xml:space="preserve">. </w:t>
      </w:r>
      <w:r w:rsidR="00A52720">
        <w:rPr>
          <w:b/>
          <w:bCs/>
          <w:i/>
          <w:iCs/>
          <w:sz w:val="28"/>
          <w:szCs w:val="28"/>
        </w:rPr>
        <w:t xml:space="preserve">Tale approccio viene seguito da Eiopa, Eba e Esma anche per le informazioni aggiuntive previste dagli art. 5 e 6 della Tassonomia. Condividi tale approccio oppure queste informazioni aggiuntive dovrebbero essere inserite in schemi dedicati? </w:t>
      </w:r>
    </w:p>
    <w:p w14:paraId="508D9F98" w14:textId="034515ED" w:rsidR="00A52720" w:rsidRDefault="00A52720" w:rsidP="00970D54">
      <w:pPr>
        <w:spacing w:after="0" w:line="240" w:lineRule="auto"/>
        <w:jc w:val="both"/>
      </w:pPr>
      <w:r w:rsidRPr="00A52720">
        <w:t xml:space="preserve">L’approccio utilizzato da Eiopa, Esma </w:t>
      </w:r>
      <w:r>
        <w:t>è</w:t>
      </w:r>
      <w:r w:rsidRPr="00A52720">
        <w:t xml:space="preserve"> Eba è condivisibile</w:t>
      </w:r>
      <w:r>
        <w:t xml:space="preserve">. </w:t>
      </w:r>
    </w:p>
    <w:p w14:paraId="0C66D116" w14:textId="5F6FDE02" w:rsidR="00A52720" w:rsidRDefault="00A52720" w:rsidP="00970D54">
      <w:pPr>
        <w:spacing w:after="0" w:line="240" w:lineRule="auto"/>
        <w:jc w:val="both"/>
      </w:pPr>
    </w:p>
    <w:p w14:paraId="0C2E167C" w14:textId="2543AC5E" w:rsidR="00A52720" w:rsidRPr="00086BBD" w:rsidRDefault="00A52720" w:rsidP="00A52720">
      <w:pPr>
        <w:spacing w:after="0" w:line="240" w:lineRule="auto"/>
        <w:rPr>
          <w:b/>
          <w:bCs/>
          <w:color w:val="FF0000"/>
        </w:rPr>
      </w:pPr>
      <w:r w:rsidRPr="00A52720">
        <w:rPr>
          <w:b/>
          <w:bCs/>
          <w:i/>
          <w:iCs/>
          <w:sz w:val="28"/>
          <w:szCs w:val="28"/>
        </w:rPr>
        <w:t>Domanda 11</w:t>
      </w:r>
      <w:r>
        <w:rPr>
          <w:b/>
          <w:bCs/>
          <w:i/>
          <w:iCs/>
          <w:sz w:val="28"/>
          <w:szCs w:val="28"/>
        </w:rPr>
        <w:t>)</w:t>
      </w:r>
      <w:r w:rsidRPr="00A52720">
        <w:rPr>
          <w:b/>
          <w:bCs/>
          <w:i/>
          <w:iCs/>
          <w:sz w:val="28"/>
          <w:szCs w:val="28"/>
        </w:rPr>
        <w:t xml:space="preserve"> La bozza di </w:t>
      </w:r>
      <w:r>
        <w:rPr>
          <w:b/>
          <w:bCs/>
          <w:i/>
          <w:iCs/>
          <w:sz w:val="28"/>
          <w:szCs w:val="28"/>
        </w:rPr>
        <w:t>progetti di norme tecniche di regolamento</w:t>
      </w:r>
      <w:r w:rsidRPr="00A52720">
        <w:rPr>
          <w:b/>
          <w:bCs/>
          <w:i/>
          <w:iCs/>
          <w:sz w:val="28"/>
          <w:szCs w:val="28"/>
        </w:rPr>
        <w:t xml:space="preserve"> propone di identificare se i prodotti fanno gli investimenti sostenibili </w:t>
      </w:r>
      <w:r>
        <w:rPr>
          <w:b/>
          <w:bCs/>
          <w:i/>
          <w:iCs/>
          <w:sz w:val="28"/>
          <w:szCs w:val="28"/>
        </w:rPr>
        <w:t xml:space="preserve">di carattere ambientale </w:t>
      </w:r>
      <w:r w:rsidRPr="00A52720">
        <w:rPr>
          <w:b/>
          <w:bCs/>
          <w:i/>
          <w:iCs/>
          <w:sz w:val="28"/>
          <w:szCs w:val="28"/>
        </w:rPr>
        <w:t xml:space="preserve">secondo la tassonomia dell'UE. </w:t>
      </w:r>
      <w:r>
        <w:rPr>
          <w:b/>
          <w:bCs/>
          <w:i/>
          <w:iCs/>
          <w:sz w:val="28"/>
          <w:szCs w:val="28"/>
        </w:rPr>
        <w:t>Tale approccio potrebbe essere esteso anche agli investimenti sostenibili con un obiettivo sociale</w:t>
      </w:r>
      <w:r w:rsidRPr="00A52720">
        <w:rPr>
          <w:b/>
          <w:bCs/>
          <w:i/>
          <w:iCs/>
          <w:sz w:val="28"/>
          <w:szCs w:val="28"/>
        </w:rPr>
        <w:t>?</w:t>
      </w:r>
      <w:r>
        <w:rPr>
          <w:b/>
          <w:bCs/>
          <w:i/>
          <w:iCs/>
          <w:sz w:val="28"/>
          <w:szCs w:val="28"/>
        </w:rPr>
        <w:t xml:space="preserve"> Come valuti tale possibilità?</w:t>
      </w:r>
      <w:r>
        <w:rPr>
          <w:b/>
          <w:bCs/>
        </w:rPr>
        <w:t xml:space="preserve"> </w:t>
      </w:r>
    </w:p>
    <w:p w14:paraId="61A4D938" w14:textId="77777777" w:rsidR="00A52720" w:rsidRPr="00A52720" w:rsidRDefault="00A52720" w:rsidP="00970D54">
      <w:pPr>
        <w:spacing w:after="0" w:line="240" w:lineRule="auto"/>
        <w:jc w:val="both"/>
      </w:pPr>
    </w:p>
    <w:p w14:paraId="4232AD4B" w14:textId="77777777" w:rsidR="00C47679" w:rsidRPr="00F446F8" w:rsidRDefault="00C47679" w:rsidP="00F446F8">
      <w:pPr>
        <w:spacing w:after="0" w:line="240" w:lineRule="auto"/>
        <w:jc w:val="both"/>
        <w:rPr>
          <w:b/>
          <w:bCs/>
          <w:i/>
          <w:iCs/>
          <w:sz w:val="28"/>
          <w:szCs w:val="28"/>
        </w:rPr>
      </w:pPr>
    </w:p>
    <w:sectPr w:rsidR="00C47679" w:rsidRPr="00F446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A46"/>
    <w:rsid w:val="00072BA8"/>
    <w:rsid w:val="00094E5E"/>
    <w:rsid w:val="00105292"/>
    <w:rsid w:val="00132C77"/>
    <w:rsid w:val="001625C3"/>
    <w:rsid w:val="00193B95"/>
    <w:rsid w:val="002251CC"/>
    <w:rsid w:val="002A50C5"/>
    <w:rsid w:val="003402E0"/>
    <w:rsid w:val="0034344B"/>
    <w:rsid w:val="00355771"/>
    <w:rsid w:val="00371D3D"/>
    <w:rsid w:val="003B144D"/>
    <w:rsid w:val="00505C7D"/>
    <w:rsid w:val="00506F03"/>
    <w:rsid w:val="00572510"/>
    <w:rsid w:val="00593224"/>
    <w:rsid w:val="006C0129"/>
    <w:rsid w:val="00745B9F"/>
    <w:rsid w:val="00780471"/>
    <w:rsid w:val="007C1782"/>
    <w:rsid w:val="007C6F8E"/>
    <w:rsid w:val="007D0817"/>
    <w:rsid w:val="007F1924"/>
    <w:rsid w:val="00811582"/>
    <w:rsid w:val="008454AF"/>
    <w:rsid w:val="008A25CF"/>
    <w:rsid w:val="008E5835"/>
    <w:rsid w:val="00921010"/>
    <w:rsid w:val="00970D54"/>
    <w:rsid w:val="009A6659"/>
    <w:rsid w:val="009D35D5"/>
    <w:rsid w:val="009F2717"/>
    <w:rsid w:val="00A02E79"/>
    <w:rsid w:val="00A02FF1"/>
    <w:rsid w:val="00A52720"/>
    <w:rsid w:val="00A64EFA"/>
    <w:rsid w:val="00A90C4B"/>
    <w:rsid w:val="00AE58B9"/>
    <w:rsid w:val="00B136C0"/>
    <w:rsid w:val="00B3553B"/>
    <w:rsid w:val="00B45F2E"/>
    <w:rsid w:val="00B6209F"/>
    <w:rsid w:val="00B83303"/>
    <w:rsid w:val="00BA1E85"/>
    <w:rsid w:val="00BC16E9"/>
    <w:rsid w:val="00C05150"/>
    <w:rsid w:val="00C47679"/>
    <w:rsid w:val="00C6163D"/>
    <w:rsid w:val="00C83333"/>
    <w:rsid w:val="00C976C5"/>
    <w:rsid w:val="00D161B2"/>
    <w:rsid w:val="00D36A46"/>
    <w:rsid w:val="00D71799"/>
    <w:rsid w:val="00D97B26"/>
    <w:rsid w:val="00E062E6"/>
    <w:rsid w:val="00E10856"/>
    <w:rsid w:val="00E40640"/>
    <w:rsid w:val="00F01888"/>
    <w:rsid w:val="00F446F8"/>
    <w:rsid w:val="00F936D9"/>
    <w:rsid w:val="00FA10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4DC38"/>
  <w15:chartTrackingRefBased/>
  <w15:docId w15:val="{09941182-115C-4709-BD50-F4FB9E88E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4</Pages>
  <Words>2395</Words>
  <Characters>13654</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Antonello Motroni</dc:creator>
  <cp:keywords/>
  <dc:description/>
  <cp:lastModifiedBy>Antonello Motroni</cp:lastModifiedBy>
  <cp:revision>40</cp:revision>
  <cp:lastPrinted>2021-04-27T09:32:00Z</cp:lastPrinted>
  <dcterms:created xsi:type="dcterms:W3CDTF">2021-04-26T09:23:00Z</dcterms:created>
  <dcterms:modified xsi:type="dcterms:W3CDTF">2021-04-27T14:11:00Z</dcterms:modified>
</cp:coreProperties>
</file>