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A3CB05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22366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PlaceholderText"/>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lastRenderedPageBreak/>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lastRenderedPageBreak/>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lastRenderedPageBreak/>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lastRenderedPageBreak/>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1896</Words>
  <Characters>10809</Characters>
  <Application>Microsoft Office Word</Application>
  <DocSecurity>8</DocSecurity>
  <Lines>90</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12680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Solveig Kleiveland</cp:lastModifiedBy>
  <cp:revision>2</cp:revision>
  <cp:lastPrinted>2015-02-18T11:01:00Z</cp:lastPrinted>
  <dcterms:created xsi:type="dcterms:W3CDTF">2020-04-23T07:26:00Z</dcterms:created>
  <dcterms:modified xsi:type="dcterms:W3CDTF">2020-04-23T07:26:00Z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